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D0317" w14:textId="1E006CBD" w:rsidR="00A05292" w:rsidRPr="00214607" w:rsidRDefault="00C20446" w:rsidP="00A05292">
      <w:pPr>
        <w:jc w:val="center"/>
        <w:rPr>
          <w:b/>
          <w:color w:val="000000" w:themeColor="text1"/>
          <w:u w:val="single"/>
        </w:rPr>
      </w:pPr>
      <w:bookmarkStart w:id="0" w:name="_Hlk507479231"/>
      <w:r>
        <w:rPr>
          <w:b/>
          <w:u w:val="single"/>
        </w:rPr>
        <w:t xml:space="preserve"> </w:t>
      </w:r>
      <w:r w:rsidR="00386119" w:rsidRPr="00214607">
        <w:rPr>
          <w:b/>
          <w:u w:val="single"/>
        </w:rPr>
        <w:t>DECEMBER</w:t>
      </w:r>
      <w:r w:rsidR="000B6871" w:rsidRPr="00214607">
        <w:rPr>
          <w:b/>
          <w:u w:val="single"/>
        </w:rPr>
        <w:t xml:space="preserve"> </w:t>
      </w:r>
      <w:r w:rsidR="00FE01B1" w:rsidRPr="00214607">
        <w:rPr>
          <w:b/>
          <w:u w:val="single"/>
        </w:rPr>
        <w:t xml:space="preserve"> </w:t>
      </w:r>
      <w:r w:rsidR="00490261" w:rsidRPr="00214607">
        <w:rPr>
          <w:b/>
          <w:u w:val="single"/>
        </w:rPr>
        <w:t>2020 Market</w:t>
      </w:r>
      <w:r w:rsidR="00A05292" w:rsidRPr="00214607">
        <w:rPr>
          <w:b/>
          <w:u w:val="single"/>
        </w:rPr>
        <w:t xml:space="preserve"> Report</w:t>
      </w:r>
    </w:p>
    <w:p w14:paraId="2DF58CD4" w14:textId="40286400" w:rsidR="00DB5BC9" w:rsidRPr="00214607" w:rsidRDefault="00DB5BC9" w:rsidP="00A05292">
      <w:pPr>
        <w:jc w:val="center"/>
        <w:rPr>
          <w:bCs/>
          <w:color w:val="FF0000"/>
        </w:rPr>
      </w:pPr>
    </w:p>
    <w:p w14:paraId="68913CAC" w14:textId="7D19A291" w:rsidR="00DB5BC9" w:rsidRPr="00214607" w:rsidRDefault="00DB5BC9" w:rsidP="00DB5BC9">
      <w:pPr>
        <w:rPr>
          <w:bCs/>
        </w:rPr>
      </w:pPr>
      <w:r>
        <w:rPr>
          <w:bCs/>
          <w:color w:val="FF0000"/>
        </w:rPr>
        <w:t>.</w:t>
      </w:r>
    </w:p>
    <w:p w14:paraId="25C1A779" w14:textId="08793845" w:rsidR="00413F12" w:rsidRPr="003D4322" w:rsidRDefault="00413F12" w:rsidP="00A05292">
      <w:pPr>
        <w:jc w:val="center"/>
        <w:rPr>
          <w:bCs/>
          <w:color w:val="000000" w:themeColor="text1"/>
          <w:highlight w:val="yellow"/>
        </w:rPr>
      </w:pPr>
    </w:p>
    <w:p w14:paraId="532C5209" w14:textId="77777777" w:rsidR="00A05292" w:rsidRPr="003D4322" w:rsidRDefault="00A05292" w:rsidP="00ED11CE">
      <w:pPr>
        <w:rPr>
          <w:color w:val="000000" w:themeColor="text1"/>
          <w:highlight w:val="yellow"/>
        </w:rPr>
      </w:pPr>
    </w:p>
    <w:p w14:paraId="5ECB4593" w14:textId="3AD4C1D5" w:rsidR="0092527A" w:rsidRPr="00214607" w:rsidRDefault="005B3D17" w:rsidP="00475C22">
      <w:r w:rsidRPr="00214607">
        <w:t xml:space="preserve">During </w:t>
      </w:r>
      <w:r w:rsidR="00044952" w:rsidRPr="00214607">
        <w:t>one-month</w:t>
      </w:r>
      <w:r w:rsidR="00891A20" w:rsidRPr="00214607">
        <w:t xml:space="preserve"> period to</w:t>
      </w:r>
      <w:r w:rsidR="00413F12" w:rsidRPr="00214607">
        <w:t xml:space="preserve"> </w:t>
      </w:r>
      <w:r w:rsidR="005551B1" w:rsidRPr="00214607">
        <w:t>3</w:t>
      </w:r>
      <w:r w:rsidR="00CE228E" w:rsidRPr="00214607">
        <w:t>0</w:t>
      </w:r>
      <w:r w:rsidR="00CE228E" w:rsidRPr="00214607">
        <w:rPr>
          <w:vertAlign w:val="superscript"/>
        </w:rPr>
        <w:t>th</w:t>
      </w:r>
      <w:r w:rsidR="00CE228E" w:rsidRPr="00214607">
        <w:t xml:space="preserve"> November, major</w:t>
      </w:r>
      <w:r w:rsidR="00936ADF" w:rsidRPr="00214607">
        <w:t xml:space="preserve"> </w:t>
      </w:r>
      <w:r w:rsidR="00936ADF" w:rsidRPr="00214607">
        <w:rPr>
          <w:b/>
        </w:rPr>
        <w:t>equity</w:t>
      </w:r>
      <w:r w:rsidR="0001189F" w:rsidRPr="00214607">
        <w:rPr>
          <w:b/>
        </w:rPr>
        <w:t xml:space="preserve"> </w:t>
      </w:r>
      <w:r w:rsidR="00D50DD4" w:rsidRPr="00214607">
        <w:rPr>
          <w:b/>
        </w:rPr>
        <w:t>markets, as</w:t>
      </w:r>
      <w:r w:rsidR="000C5AB1" w:rsidRPr="00214607">
        <w:rPr>
          <w:b/>
        </w:rPr>
        <w:t xml:space="preserve"> measured by the aggregate FTSE All – </w:t>
      </w:r>
      <w:r w:rsidR="00D50DD4" w:rsidRPr="00214607">
        <w:rPr>
          <w:b/>
        </w:rPr>
        <w:t>World Index</w:t>
      </w:r>
      <w:r w:rsidR="000C5AB1" w:rsidRPr="00214607">
        <w:rPr>
          <w:b/>
        </w:rPr>
        <w:t xml:space="preserve"> </w:t>
      </w:r>
      <w:r w:rsidR="00936ADF" w:rsidRPr="00214607">
        <w:rPr>
          <w:b/>
        </w:rPr>
        <w:t>rose</w:t>
      </w:r>
      <w:r w:rsidR="000C5AB1" w:rsidRPr="00214607">
        <w:rPr>
          <w:b/>
        </w:rPr>
        <w:t xml:space="preserve"> </w:t>
      </w:r>
      <w:r w:rsidR="00CE228E" w:rsidRPr="00214607">
        <w:rPr>
          <w:b/>
        </w:rPr>
        <w:t xml:space="preserve"> strongly reversing the weak October performance, largely on favourable developments regarding possible Covid-19 vaccines, and initial relief at the US election result. A simultaneous sector/style switch also led to outperformance by some of the previously “neglected cyclical and value orientated” stocks, sectors and indices</w:t>
      </w:r>
      <w:r w:rsidR="00F415FE" w:rsidRPr="00214607">
        <w:rPr>
          <w:b/>
        </w:rPr>
        <w:t xml:space="preserve"> e.g FTSE100</w:t>
      </w:r>
      <w:r w:rsidR="00CE228E" w:rsidRPr="00214607">
        <w:rPr>
          <w:b/>
        </w:rPr>
        <w:t>.</w:t>
      </w:r>
      <w:r w:rsidR="00203598" w:rsidRPr="00214607">
        <w:t xml:space="preserve"> The VIX</w:t>
      </w:r>
      <w:r w:rsidR="00864B2E" w:rsidRPr="00214607">
        <w:t xml:space="preserve"> </w:t>
      </w:r>
      <w:r w:rsidR="002A25B5" w:rsidRPr="00214607">
        <w:t xml:space="preserve">index </w:t>
      </w:r>
      <w:r w:rsidR="00CE228E" w:rsidRPr="00214607">
        <w:t>fell</w:t>
      </w:r>
      <w:r w:rsidR="00936ADF" w:rsidRPr="00214607">
        <w:t xml:space="preserve"> sharply </w:t>
      </w:r>
      <w:r w:rsidR="00D44293" w:rsidRPr="00214607">
        <w:t xml:space="preserve">to </w:t>
      </w:r>
      <w:r w:rsidR="00214607" w:rsidRPr="00214607">
        <w:t>21.77, as</w:t>
      </w:r>
      <w:r w:rsidR="00F721C5" w:rsidRPr="00214607">
        <w:t xml:space="preserve"> more </w:t>
      </w:r>
      <w:r w:rsidR="001B0DFB" w:rsidRPr="00214607">
        <w:t>risk taking became prevalent.</w:t>
      </w:r>
      <w:r w:rsidR="009026B7" w:rsidRPr="00214607">
        <w:t xml:space="preserve"> </w:t>
      </w:r>
      <w:r w:rsidR="007F3BFC" w:rsidRPr="00214607">
        <w:t>Government stocks</w:t>
      </w:r>
      <w:r w:rsidR="001B0DFB" w:rsidRPr="00214607">
        <w:t xml:space="preserve"> prices</w:t>
      </w:r>
      <w:r w:rsidR="007F3BFC" w:rsidRPr="00214607">
        <w:t xml:space="preserve"> fell </w:t>
      </w:r>
      <w:r w:rsidR="001B0DFB" w:rsidRPr="00214607">
        <w:t xml:space="preserve">while </w:t>
      </w:r>
      <w:r w:rsidR="000B0712" w:rsidRPr="00214607">
        <w:t xml:space="preserve">many other credit prices rose leading to a sharp contraction in spreads. Currencies featured general US dollar weakness, while the pound received a </w:t>
      </w:r>
      <w:r w:rsidR="004F1624" w:rsidRPr="00214607">
        <w:t>Brexit (</w:t>
      </w:r>
      <w:r w:rsidR="00965EF8" w:rsidRPr="00214607">
        <w:t>nearly there</w:t>
      </w:r>
      <w:r w:rsidR="00F415FE" w:rsidRPr="00214607">
        <w:t>!</w:t>
      </w:r>
      <w:r w:rsidR="00965EF8" w:rsidRPr="00214607">
        <w:t>)</w:t>
      </w:r>
      <w:r w:rsidR="000B0712" w:rsidRPr="00214607">
        <w:t xml:space="preserve"> related </w:t>
      </w:r>
      <w:r w:rsidR="00335D50" w:rsidRPr="00214607">
        <w:t>fillip. The</w:t>
      </w:r>
      <w:r w:rsidR="000B0712" w:rsidRPr="00214607">
        <w:t xml:space="preserve"> Chinese </w:t>
      </w:r>
      <w:r w:rsidR="0048623D" w:rsidRPr="00214607">
        <w:t>Renminbi</w:t>
      </w:r>
      <w:r w:rsidR="000B0712" w:rsidRPr="00214607">
        <w:t xml:space="preserve"> continued to </w:t>
      </w:r>
      <w:r w:rsidR="00335D50" w:rsidRPr="00214607">
        <w:t>rise, now</w:t>
      </w:r>
      <w:r w:rsidR="000B0712" w:rsidRPr="00214607">
        <w:t xml:space="preserve"> up </w:t>
      </w:r>
      <w:r w:rsidR="00214607" w:rsidRPr="00214607">
        <w:t>over 5%</w:t>
      </w:r>
      <w:r w:rsidR="000B0712" w:rsidRPr="00214607">
        <w:t xml:space="preserve"> against the dollar since the beginning of the year.</w:t>
      </w:r>
      <w:r w:rsidR="007F3BFC" w:rsidRPr="00214607">
        <w:t xml:space="preserve"> </w:t>
      </w:r>
      <w:r w:rsidR="00335D50" w:rsidRPr="00214607">
        <w:t>Commodities were generally firm.</w:t>
      </w:r>
      <w:r w:rsidR="00C82A80" w:rsidRPr="00214607">
        <w:t xml:space="preserve"> </w:t>
      </w:r>
    </w:p>
    <w:p w14:paraId="395F0500" w14:textId="77777777" w:rsidR="00301EBD" w:rsidRPr="00214607" w:rsidRDefault="00301EBD" w:rsidP="00475C22"/>
    <w:p w14:paraId="49FE2543" w14:textId="08562D9C" w:rsidR="00752836" w:rsidRPr="00214607" w:rsidRDefault="00130DB1" w:rsidP="00AC6605">
      <w:pPr>
        <w:jc w:val="both"/>
      </w:pPr>
      <w:r w:rsidRPr="00214607">
        <w:t xml:space="preserve">In terms of global economic </w:t>
      </w:r>
      <w:r w:rsidR="00335D50" w:rsidRPr="00214607">
        <w:t xml:space="preserve">data, there were no real changes to near term aggregate </w:t>
      </w:r>
      <w:r w:rsidR="00811BCC" w:rsidRPr="00214607">
        <w:t xml:space="preserve">projections, the </w:t>
      </w:r>
      <w:r w:rsidRPr="00214607">
        <w:t xml:space="preserve"> IMF </w:t>
      </w:r>
      <w:r w:rsidR="00335D50" w:rsidRPr="00214607">
        <w:t xml:space="preserve">and OECD currently looking for about a </w:t>
      </w:r>
      <w:r w:rsidRPr="00214607">
        <w:t xml:space="preserve"> </w:t>
      </w:r>
      <w:r w:rsidR="006F3168" w:rsidRPr="00214607">
        <w:t>4.4% decline this year to be followed by a tentative 5.5% rebound in 2021.</w:t>
      </w:r>
      <w:r w:rsidR="00335D50" w:rsidRPr="00214607">
        <w:t>However,the vaccine news, while still awaiting regulation clarification, scale production,distribution,administration</w:t>
      </w:r>
      <w:r w:rsidR="00811BCC" w:rsidRPr="00214607">
        <w:t xml:space="preserve"> etc has brought forward and increased some estimates for longer term economic recovery. The fact that certain countries e.g USA are still experiencing an acceleration in positive coronavirus cases and that other countries are proposing various on/off lockdowns point to </w:t>
      </w:r>
      <w:r w:rsidR="00811BCC" w:rsidRPr="00214607">
        <w:rPr>
          <w:b/>
          <w:bCs/>
        </w:rPr>
        <w:t>continued country/sector variation</w:t>
      </w:r>
      <w:r w:rsidR="00811BCC" w:rsidRPr="00214607">
        <w:t>, and related fiscal and monetary policy actions.</w:t>
      </w:r>
    </w:p>
    <w:p w14:paraId="67081185" w14:textId="3B9502B8" w:rsidR="0003199A" w:rsidRPr="00214607" w:rsidRDefault="0003199A" w:rsidP="00475C22">
      <w:pPr>
        <w:rPr>
          <w:color w:val="000000" w:themeColor="text1"/>
        </w:rPr>
      </w:pPr>
    </w:p>
    <w:p w14:paraId="63E63823" w14:textId="3B708FB4" w:rsidR="007A1609" w:rsidRPr="00214607" w:rsidRDefault="001B0649" w:rsidP="00475C22">
      <w:r w:rsidRPr="00214607">
        <w:t>At the end</w:t>
      </w:r>
      <w:r w:rsidR="00A246F5" w:rsidRPr="00214607">
        <w:t xml:space="preserve"> of</w:t>
      </w:r>
      <w:r w:rsidRPr="00214607">
        <w:t xml:space="preserve"> August Jackson Hole monetary policy symposium the </w:t>
      </w:r>
      <w:r w:rsidRPr="00214607">
        <w:rPr>
          <w:b/>
          <w:bCs/>
        </w:rPr>
        <w:t>Fed adopted a new monetary poli</w:t>
      </w:r>
      <w:r w:rsidRPr="00214607">
        <w:t xml:space="preserve">cy strategy that will be more tolerant of temporary rises in inflation, cementing expectations that the US central bank will keep interest rates at ultra-low levels for </w:t>
      </w:r>
      <w:r w:rsidR="00A524AB" w:rsidRPr="00214607">
        <w:t>years. At</w:t>
      </w:r>
      <w:r w:rsidR="0012637B" w:rsidRPr="00214607">
        <w:t xml:space="preserve"> this time of </w:t>
      </w:r>
      <w:r w:rsidR="009477D3" w:rsidRPr="00214607">
        <w:t xml:space="preserve">writing, recent economic data (retail sales, unemployment) point to a softening after the strong third quarter bounce and the deteriorating Covid-19 situation, which may  prompt stricter lockdowns on a state by state ,do not auger well for fourth quarter growth. To add to this uncertainty, there is still no agreement between the political parties as to the size and timing of a stimulus package, </w:t>
      </w:r>
      <w:r w:rsidR="0026207D" w:rsidRPr="00214607">
        <w:t>and</w:t>
      </w:r>
      <w:r w:rsidR="009477D3" w:rsidRPr="00214607">
        <w:t xml:space="preserve"> the final </w:t>
      </w:r>
      <w:r w:rsidR="0099724A" w:rsidRPr="00214607">
        <w:t>make-up</w:t>
      </w:r>
      <w:r w:rsidR="009477D3" w:rsidRPr="00214607">
        <w:t xml:space="preserve"> of the House/Senate will not be known for some </w:t>
      </w:r>
      <w:r w:rsidR="00585279" w:rsidRPr="00214607">
        <w:t>weeks. The</w:t>
      </w:r>
      <w:r w:rsidR="008B0EBE" w:rsidRPr="00214607">
        <w:t xml:space="preserve"> appointment of</w:t>
      </w:r>
      <w:r w:rsidR="00C20446" w:rsidRPr="00214607">
        <w:t xml:space="preserve"> former Fed chairperson,</w:t>
      </w:r>
      <w:r w:rsidR="008B0EBE" w:rsidRPr="00214607">
        <w:t xml:space="preserve"> Janet Yellen as Treasury Secretary</w:t>
      </w:r>
      <w:r w:rsidR="00807DBC" w:rsidRPr="00214607">
        <w:t xml:space="preserve"> was generally seen as a positive factor.</w:t>
      </w:r>
      <w:r w:rsidR="0089561C" w:rsidRPr="00214607">
        <w:t xml:space="preserve"> </w:t>
      </w:r>
    </w:p>
    <w:p w14:paraId="57F7CEE0" w14:textId="77777777" w:rsidR="00807DBC" w:rsidRPr="00214607" w:rsidRDefault="00807DBC" w:rsidP="00475C22">
      <w:pPr>
        <w:rPr>
          <w:color w:val="000000" w:themeColor="text1"/>
        </w:rPr>
      </w:pPr>
    </w:p>
    <w:p w14:paraId="051FBEE3" w14:textId="37797F80" w:rsidR="00FC6FC4" w:rsidRPr="00214607" w:rsidRDefault="00AC6605" w:rsidP="007A1609">
      <w:r w:rsidRPr="00214607">
        <w:t xml:space="preserve">At the </w:t>
      </w:r>
      <w:r w:rsidR="0099724A" w:rsidRPr="00214607">
        <w:t>November</w:t>
      </w:r>
      <w:r w:rsidRPr="00214607">
        <w:t xml:space="preserve"> </w:t>
      </w:r>
      <w:r w:rsidRPr="00214607">
        <w:rPr>
          <w:b/>
          <w:bCs/>
        </w:rPr>
        <w:t>ECB</w:t>
      </w:r>
      <w:r w:rsidR="001C123A" w:rsidRPr="00214607">
        <w:rPr>
          <w:b/>
          <w:bCs/>
        </w:rPr>
        <w:t xml:space="preserve"> Council meeting interest rates were left unchanged </w:t>
      </w:r>
      <w:r w:rsidR="001C123A" w:rsidRPr="00214607">
        <w:t xml:space="preserve">as were the amounts of the various asset repurchase programmes and the operation of the refinancing </w:t>
      </w:r>
      <w:r w:rsidR="001B181B" w:rsidRPr="00214607">
        <w:t>programme. However</w:t>
      </w:r>
      <w:r w:rsidR="00A41937" w:rsidRPr="00214607">
        <w:t>,</w:t>
      </w:r>
      <w:r w:rsidR="001C123A" w:rsidRPr="00214607">
        <w:t xml:space="preserve"> </w:t>
      </w:r>
      <w:r w:rsidR="001B181B" w:rsidRPr="00214607">
        <w:t>Council</w:t>
      </w:r>
      <w:r w:rsidR="00A41937" w:rsidRPr="00214607">
        <w:t xml:space="preserve"> members are increasingly divided </w:t>
      </w:r>
      <w:r w:rsidR="003D4322" w:rsidRPr="00214607">
        <w:t>about further</w:t>
      </w:r>
      <w:r w:rsidR="00A41937" w:rsidRPr="00214607">
        <w:t xml:space="preserve"> economic </w:t>
      </w:r>
      <w:r w:rsidR="003D4322" w:rsidRPr="00214607">
        <w:t xml:space="preserve">stimulus against a </w:t>
      </w:r>
      <w:r w:rsidR="00CF33D6" w:rsidRPr="00214607">
        <w:t xml:space="preserve">worsening </w:t>
      </w:r>
      <w:r w:rsidR="0099724A" w:rsidRPr="00214607">
        <w:t>Covid-19</w:t>
      </w:r>
      <w:r w:rsidR="00CF33D6" w:rsidRPr="00214607">
        <w:t xml:space="preserve"> background and</w:t>
      </w:r>
      <w:r w:rsidR="003D4322" w:rsidRPr="00214607">
        <w:t xml:space="preserve"> weaker </w:t>
      </w:r>
      <w:r w:rsidR="00A246F5" w:rsidRPr="00214607">
        <w:t xml:space="preserve">inflation, and Christine Lagarde hinted strongly that more stimulative measures could be employed </w:t>
      </w:r>
      <w:r w:rsidR="0099724A" w:rsidRPr="00214607">
        <w:t xml:space="preserve">in </w:t>
      </w:r>
      <w:r w:rsidR="00C20446" w:rsidRPr="00214607">
        <w:t>December (</w:t>
      </w:r>
      <w:r w:rsidR="00585279" w:rsidRPr="00214607">
        <w:t>meeting 1</w:t>
      </w:r>
      <w:r w:rsidR="00C20446" w:rsidRPr="00214607">
        <w:t>0</w:t>
      </w:r>
      <w:r w:rsidR="00585279" w:rsidRPr="00214607">
        <w:rPr>
          <w:vertAlign w:val="superscript"/>
        </w:rPr>
        <w:t>th</w:t>
      </w:r>
      <w:r w:rsidR="00585279" w:rsidRPr="00214607">
        <w:t>)</w:t>
      </w:r>
      <w:r w:rsidR="00A246F5" w:rsidRPr="00214607">
        <w:t>.</w:t>
      </w:r>
      <w:r w:rsidR="0012637B" w:rsidRPr="00214607">
        <w:t xml:space="preserve"> Very</w:t>
      </w:r>
      <w:r w:rsidR="00FC6FC4" w:rsidRPr="00214607">
        <w:t xml:space="preserve"> recent Sentiment surveys</w:t>
      </w:r>
      <w:r w:rsidR="008B0EBE" w:rsidRPr="00214607">
        <w:t xml:space="preserve"> e.g the November flash PMI figures</w:t>
      </w:r>
      <w:r w:rsidR="00FC6FC4" w:rsidRPr="00214607">
        <w:t xml:space="preserve"> suggest, </w:t>
      </w:r>
    </w:p>
    <w:p w14:paraId="120478B9" w14:textId="427B0064" w:rsidR="007A1609" w:rsidRPr="00214607" w:rsidRDefault="00CF33D6" w:rsidP="007A1609">
      <w:r w:rsidRPr="00214607">
        <w:t xml:space="preserve"> </w:t>
      </w:r>
      <w:r w:rsidR="0012637B" w:rsidRPr="00214607">
        <w:t>as</w:t>
      </w:r>
      <w:r w:rsidRPr="00214607">
        <w:t xml:space="preserve"> </w:t>
      </w:r>
      <w:r w:rsidR="00FC6FC4" w:rsidRPr="00214607">
        <w:t xml:space="preserve">in the </w:t>
      </w:r>
      <w:r w:rsidR="0012637B" w:rsidRPr="00214607">
        <w:t>UK</w:t>
      </w:r>
      <w:r w:rsidR="0050205D" w:rsidRPr="00214607">
        <w:t xml:space="preserve"> </w:t>
      </w:r>
      <w:r w:rsidR="002B6421" w:rsidRPr="00214607">
        <w:t>case, a</w:t>
      </w:r>
      <w:r w:rsidR="0099724A" w:rsidRPr="00214607">
        <w:t xml:space="preserve"> </w:t>
      </w:r>
      <w:r w:rsidR="00104BE1" w:rsidRPr="00214607">
        <w:t>weak fourth</w:t>
      </w:r>
      <w:r w:rsidR="0099724A" w:rsidRPr="00214607">
        <w:t xml:space="preserve"> quarter, and many lockdowns, of varying intensity are currently in </w:t>
      </w:r>
      <w:r w:rsidR="008B0EBE" w:rsidRPr="00214607">
        <w:t xml:space="preserve">place. Not surprisingly the service sector is suffering more than manufacturing, the German manufacturing </w:t>
      </w:r>
      <w:r w:rsidR="00E903EA" w:rsidRPr="00214607">
        <w:t>PMI, for</w:t>
      </w:r>
      <w:r w:rsidR="008B0EBE" w:rsidRPr="00214607">
        <w:t xml:space="preserve"> example, rising over the same </w:t>
      </w:r>
      <w:r w:rsidR="00585279" w:rsidRPr="00214607">
        <w:t>period. The</w:t>
      </w:r>
      <w:r w:rsidR="009D1B1E" w:rsidRPr="00214607">
        <w:t xml:space="preserve"> ECB Budget process seems to be reaching a </w:t>
      </w:r>
      <w:r w:rsidR="00965EF8" w:rsidRPr="00214607">
        <w:t xml:space="preserve">conclusion, </w:t>
      </w:r>
      <w:r w:rsidR="00F415FE" w:rsidRPr="00214607">
        <w:t>regarding</w:t>
      </w:r>
      <w:r w:rsidR="00393FBB" w:rsidRPr="00214607">
        <w:t xml:space="preserve"> the Budget and R</w:t>
      </w:r>
      <w:r w:rsidR="004F1624" w:rsidRPr="00214607">
        <w:t>e</w:t>
      </w:r>
      <w:r w:rsidR="00393FBB" w:rsidRPr="00214607">
        <w:t>c</w:t>
      </w:r>
      <w:r w:rsidR="004F1624" w:rsidRPr="00214607">
        <w:t>o</w:t>
      </w:r>
      <w:r w:rsidR="00393FBB" w:rsidRPr="00214607">
        <w:t xml:space="preserve">very </w:t>
      </w:r>
      <w:r w:rsidR="004F1624" w:rsidRPr="00214607">
        <w:t>Fund, despite</w:t>
      </w:r>
      <w:r w:rsidR="009D1B1E" w:rsidRPr="00214607">
        <w:t xml:space="preserve"> Hungarian and Polish law</w:t>
      </w:r>
      <w:r w:rsidR="00585279" w:rsidRPr="00214607">
        <w:t xml:space="preserve"> and order</w:t>
      </w:r>
      <w:r w:rsidR="009D1B1E" w:rsidRPr="00214607">
        <w:t>/aid issues!</w:t>
      </w:r>
    </w:p>
    <w:p w14:paraId="14759D51" w14:textId="7F20F34C" w:rsidR="00340244" w:rsidRPr="00214607" w:rsidRDefault="00340244" w:rsidP="007A1609">
      <w:pPr>
        <w:rPr>
          <w:color w:val="FF0000"/>
        </w:rPr>
      </w:pPr>
    </w:p>
    <w:p w14:paraId="03B62DE8" w14:textId="2DCB8B03" w:rsidR="000C62CC" w:rsidRPr="00214607" w:rsidRDefault="00340244" w:rsidP="007A1609">
      <w:r w:rsidRPr="00214607">
        <w:t>Asia excl</w:t>
      </w:r>
      <w:r w:rsidR="0050205D" w:rsidRPr="00214607">
        <w:t>uding</w:t>
      </w:r>
      <w:r w:rsidRPr="00214607">
        <w:t xml:space="preserve"> Japan, led by China</w:t>
      </w:r>
      <w:r w:rsidR="00BF601F" w:rsidRPr="00214607">
        <w:t>(across all sectors and property)</w:t>
      </w:r>
      <w:r w:rsidRPr="00214607">
        <w:t xml:space="preserve">, is </w:t>
      </w:r>
      <w:r w:rsidRPr="00214607">
        <w:rPr>
          <w:b/>
          <w:bCs/>
        </w:rPr>
        <w:t>generally in better shape than other major regions</w:t>
      </w:r>
      <w:r w:rsidR="00C82A80" w:rsidRPr="00214607">
        <w:rPr>
          <w:b/>
          <w:bCs/>
        </w:rPr>
        <w:t>(</w:t>
      </w:r>
      <w:r w:rsidRPr="00214607">
        <w:rPr>
          <w:b/>
          <w:bCs/>
        </w:rPr>
        <w:t xml:space="preserve"> v</w:t>
      </w:r>
      <w:r w:rsidRPr="00214607">
        <w:t>irus response, economic mix</w:t>
      </w:r>
      <w:r w:rsidR="00973C55" w:rsidRPr="00214607">
        <w:t>)</w:t>
      </w:r>
      <w:r w:rsidR="0099724A" w:rsidRPr="00214607">
        <w:t>.Korea for example expects a 2020 GDP decline of just 1.5%,while positive growth is expected in Vietnam.</w:t>
      </w:r>
      <w:r w:rsidRPr="00214607">
        <w:t xml:space="preserve"> </w:t>
      </w:r>
      <w:r w:rsidR="00104BE1" w:rsidRPr="00214607">
        <w:rPr>
          <w:b/>
          <w:bCs/>
        </w:rPr>
        <w:t>Japan</w:t>
      </w:r>
      <w:r w:rsidR="00104BE1" w:rsidRPr="00214607">
        <w:t>,</w:t>
      </w:r>
      <w:r w:rsidRPr="00214607">
        <w:t xml:space="preserve"> with a relatively muted C</w:t>
      </w:r>
      <w:r w:rsidR="00104BE1" w:rsidRPr="00214607">
        <w:t>ovid-19</w:t>
      </w:r>
      <w:r w:rsidRPr="00214607">
        <w:t xml:space="preserve"> </w:t>
      </w:r>
      <w:r w:rsidRPr="00214607">
        <w:lastRenderedPageBreak/>
        <w:t xml:space="preserve">experience, is expected to experience a relatively smooth transition under the new </w:t>
      </w:r>
      <w:proofErr w:type="spellStart"/>
      <w:proofErr w:type="gramStart"/>
      <w:r w:rsidRPr="00214607">
        <w:t>PM,Yoshihide</w:t>
      </w:r>
      <w:proofErr w:type="spellEnd"/>
      <w:proofErr w:type="gramEnd"/>
      <w:r w:rsidRPr="00214607">
        <w:t xml:space="preserve"> Suga</w:t>
      </w:r>
      <w:r w:rsidR="0099724A" w:rsidRPr="00214607">
        <w:t xml:space="preserve"> and experienced 5% growth in the third quarter, higher than expectations. </w:t>
      </w:r>
    </w:p>
    <w:p w14:paraId="42D135E0" w14:textId="77777777" w:rsidR="000C62CC" w:rsidRPr="00214607" w:rsidRDefault="000C62CC" w:rsidP="007A1609"/>
    <w:p w14:paraId="2E22951F" w14:textId="2C5BEB73" w:rsidR="00340244" w:rsidRPr="00214607" w:rsidRDefault="00D374AD" w:rsidP="007A1609">
      <w:r w:rsidRPr="00214607">
        <w:t>China specifically has been reporting relatively strong economic data</w:t>
      </w:r>
      <w:r w:rsidR="00F83F54" w:rsidRPr="00214607">
        <w:t xml:space="preserve"> e.g provisional third quarter </w:t>
      </w:r>
      <w:r w:rsidR="00104BE1" w:rsidRPr="00214607">
        <w:t>GDP and</w:t>
      </w:r>
      <w:r w:rsidRPr="00214607">
        <w:t xml:space="preserve"> is likely to post</w:t>
      </w:r>
      <w:r w:rsidR="00F83F54" w:rsidRPr="00214607">
        <w:t xml:space="preserve"> positive GDP growth this year of </w:t>
      </w:r>
      <w:r w:rsidR="00104BE1" w:rsidRPr="00214607">
        <w:t>around 2</w:t>
      </w:r>
      <w:r w:rsidR="00CB7873" w:rsidRPr="00214607">
        <w:t>%-</w:t>
      </w:r>
      <w:r w:rsidR="00F83F54" w:rsidRPr="00214607">
        <w:t>4%.</w:t>
      </w:r>
      <w:r w:rsidR="004F1624" w:rsidRPr="00214607">
        <w:t>PMI just released yesterday</w:t>
      </w:r>
      <w:r w:rsidR="00214607" w:rsidRPr="00214607">
        <w:t xml:space="preserve"> shows stronger than expected </w:t>
      </w:r>
      <w:r w:rsidR="0048623D" w:rsidRPr="00214607">
        <w:t>growth. A</w:t>
      </w:r>
      <w:r w:rsidR="00104BE1" w:rsidRPr="00214607">
        <w:t xml:space="preserve"> recent</w:t>
      </w:r>
      <w:r w:rsidR="00585279" w:rsidRPr="00214607">
        <w:t xml:space="preserve"> government</w:t>
      </w:r>
      <w:r w:rsidR="00104BE1" w:rsidRPr="00214607">
        <w:t xml:space="preserve"> bond issue, oversubscribed, despite the </w:t>
      </w:r>
      <w:r w:rsidR="0048623D">
        <w:t xml:space="preserve">tiny </w:t>
      </w:r>
      <w:r w:rsidR="00104BE1" w:rsidRPr="00214607">
        <w:t xml:space="preserve"> yield, is an example of hunger for certain Chinese assets, although the last minute pulling of the Ant equity issue</w:t>
      </w:r>
      <w:r w:rsidR="00585279" w:rsidRPr="00214607">
        <w:t xml:space="preserve"> and certain corporate bond defaults </w:t>
      </w:r>
      <w:r w:rsidR="00104BE1" w:rsidRPr="00214607">
        <w:t>,</w:t>
      </w:r>
      <w:r w:rsidR="00585279" w:rsidRPr="00214607">
        <w:t>provided a reminder of some of the risks.</w:t>
      </w:r>
    </w:p>
    <w:p w14:paraId="4EE2BC0C" w14:textId="6B54EBE7" w:rsidR="000C62CC" w:rsidRPr="00214607" w:rsidRDefault="000C62CC" w:rsidP="007A1609"/>
    <w:p w14:paraId="2014CD36" w14:textId="59115CD1" w:rsidR="000B5657" w:rsidRPr="00214607" w:rsidRDefault="000B5657" w:rsidP="00475C22">
      <w:pPr>
        <w:rPr>
          <w:color w:val="000000" w:themeColor="text1"/>
        </w:rPr>
      </w:pPr>
    </w:p>
    <w:p w14:paraId="0B5C951A" w14:textId="77777777" w:rsidR="00F45962" w:rsidRPr="00214607" w:rsidRDefault="00F45962" w:rsidP="00475C22">
      <w:pPr>
        <w:rPr>
          <w:color w:val="000000" w:themeColor="text1"/>
        </w:rPr>
      </w:pPr>
    </w:p>
    <w:p w14:paraId="18D40058" w14:textId="2A50631A" w:rsidR="001A3C91" w:rsidRPr="00214607" w:rsidRDefault="006C53EB" w:rsidP="00475C22">
      <w:r w:rsidRPr="00214607">
        <w:rPr>
          <w:b/>
          <w:bCs/>
        </w:rPr>
        <w:t xml:space="preserve">Within the </w:t>
      </w:r>
      <w:r w:rsidR="00ED0839" w:rsidRPr="00214607">
        <w:rPr>
          <w:b/>
          <w:bCs/>
        </w:rPr>
        <w:t>UK</w:t>
      </w:r>
      <w:r w:rsidR="00ED0839" w:rsidRPr="00214607">
        <w:t xml:space="preserve">, </w:t>
      </w:r>
      <w:r w:rsidR="00533486" w:rsidRPr="00214607">
        <w:t>provisional GDP figures, showed</w:t>
      </w:r>
      <w:r w:rsidR="00940597" w:rsidRPr="00214607">
        <w:t xml:space="preserve"> growth of 15.5% during the third quarter( after a second quarter 20% decline).More recent data showed a slowdown in October and, of course, further weakness in November ,a period of lockdown  for much of the country. A tiered approach and selective loosening over</w:t>
      </w:r>
      <w:r w:rsidR="00585279" w:rsidRPr="00214607">
        <w:t xml:space="preserve"> the Christmas period </w:t>
      </w:r>
      <w:r w:rsidR="00940597" w:rsidRPr="00214607">
        <w:t xml:space="preserve">will probably not be enough to avert a fourth quarter decline overall. </w:t>
      </w:r>
      <w:r w:rsidR="0038305A" w:rsidRPr="00214607">
        <w:t xml:space="preserve">However, although early days until full effective roll out of recently announced vaccines, economic estimates and corporate confidence are starting to rise from spring 2021 </w:t>
      </w:r>
      <w:r w:rsidR="00EE20CC" w:rsidRPr="00214607">
        <w:t>onwards.</w:t>
      </w:r>
      <w:r w:rsidR="00585279" w:rsidRPr="00214607">
        <w:t>Nonetheless,</w:t>
      </w:r>
      <w:r w:rsidR="00EE20CC" w:rsidRPr="00214607">
        <w:t xml:space="preserve"> Brexit related issues, rising bankruptcies, short term </w:t>
      </w:r>
      <w:r w:rsidR="0048623D" w:rsidRPr="00214607">
        <w:t>unemployment,</w:t>
      </w:r>
      <w:r w:rsidR="0048623D">
        <w:t xml:space="preserve"> greater poverty,</w:t>
      </w:r>
      <w:r w:rsidR="0089561C" w:rsidRPr="00214607">
        <w:t xml:space="preserve"> loan</w:t>
      </w:r>
      <w:r w:rsidR="00EE20CC" w:rsidRPr="00214607">
        <w:t xml:space="preserve"> repayments and the spectre of </w:t>
      </w:r>
      <w:r w:rsidR="0048623D">
        <w:t>higher</w:t>
      </w:r>
      <w:r w:rsidR="00EE20CC" w:rsidRPr="00214607">
        <w:t xml:space="preserve"> taxes must all be considered.</w:t>
      </w:r>
    </w:p>
    <w:p w14:paraId="09ECFA3E" w14:textId="6348D9AA" w:rsidR="00C20526" w:rsidRPr="00214607" w:rsidRDefault="00C20526" w:rsidP="00475C22"/>
    <w:p w14:paraId="7353AACD" w14:textId="27C81A5D" w:rsidR="00D774F3" w:rsidRPr="00214607" w:rsidRDefault="00C20526" w:rsidP="00475C22">
      <w:r w:rsidRPr="00214607">
        <w:t xml:space="preserve">The Chancellor’s Autumn </w:t>
      </w:r>
      <w:r w:rsidR="00C20446" w:rsidRPr="00214607">
        <w:t>statement,</w:t>
      </w:r>
      <w:r w:rsidR="0089561C" w:rsidRPr="00214607">
        <w:t xml:space="preserve"> full</w:t>
      </w:r>
      <w:r w:rsidRPr="00214607">
        <w:t xml:space="preserve"> of records of an unwelcome </w:t>
      </w:r>
      <w:r w:rsidR="0089561C" w:rsidRPr="00214607">
        <w:t>variety, highlighted</w:t>
      </w:r>
      <w:r w:rsidRPr="00214607">
        <w:t xml:space="preserve"> the weak economic growth (-11.3% </w:t>
      </w:r>
      <w:r w:rsidR="0089561C" w:rsidRPr="00214607">
        <w:t>2020, followed</w:t>
      </w:r>
      <w:r w:rsidRPr="00214607">
        <w:t xml:space="preserve"> by 5.5% then 6.6%</w:t>
      </w:r>
      <w:r w:rsidR="0089561C" w:rsidRPr="00214607">
        <w:t>), budget</w:t>
      </w:r>
      <w:r w:rsidRPr="00214607">
        <w:t xml:space="preserve"> deficit 19% of GDP this financial year and an expectation of 2.6 million </w:t>
      </w:r>
      <w:r w:rsidR="0089561C" w:rsidRPr="00214607">
        <w:t xml:space="preserve">unemployed. </w:t>
      </w:r>
      <w:r w:rsidR="00BA417D" w:rsidRPr="00214607">
        <w:t xml:space="preserve">A no-deal Brexit would worsen these </w:t>
      </w:r>
      <w:r w:rsidR="00A4561C" w:rsidRPr="00214607">
        <w:t>figures. Post</w:t>
      </w:r>
      <w:r w:rsidR="00702147" w:rsidRPr="00214607">
        <w:t xml:space="preserve"> Covid-19, hard decisions on debt, spending and taxes will have to be </w:t>
      </w:r>
      <w:r w:rsidR="00A4561C" w:rsidRPr="00214607">
        <w:t>made. As</w:t>
      </w:r>
      <w:r w:rsidR="00965EF8" w:rsidRPr="00214607">
        <w:t xml:space="preserve"> a cheeky aside, I note that in the small print of the Chancellor’s statement, I saw that the largest </w:t>
      </w:r>
      <w:r w:rsidR="00965EF8" w:rsidRPr="00214607">
        <w:rPr>
          <w:b/>
          <w:bCs/>
        </w:rPr>
        <w:t>increase</w:t>
      </w:r>
      <w:r w:rsidR="00965EF8" w:rsidRPr="00214607">
        <w:t xml:space="preserve"> in Government departmental Budgets is reserved for </w:t>
      </w:r>
      <w:r w:rsidR="00A4561C" w:rsidRPr="00214607">
        <w:t>HMRC! Higher</w:t>
      </w:r>
      <w:r w:rsidR="00965EF8" w:rsidRPr="00214607">
        <w:t xml:space="preserve"> taxes/more taxes/tax evasion </w:t>
      </w:r>
      <w:r w:rsidR="00A4561C" w:rsidRPr="00214607">
        <w:t>clampdown, Brexit</w:t>
      </w:r>
      <w:r w:rsidR="00965EF8" w:rsidRPr="00214607">
        <w:t xml:space="preserve"> </w:t>
      </w:r>
      <w:r w:rsidR="004F1624" w:rsidRPr="00214607">
        <w:t>paperwork...</w:t>
      </w:r>
      <w:r w:rsidR="00965EF8" w:rsidRPr="00214607">
        <w:t>take your pick!</w:t>
      </w:r>
    </w:p>
    <w:p w14:paraId="607A5BEE" w14:textId="51259732" w:rsidR="007B2251" w:rsidRPr="00214607" w:rsidRDefault="007B2251" w:rsidP="00475C22"/>
    <w:p w14:paraId="33DA503D" w14:textId="5C62421E" w:rsidR="00F66009" w:rsidRPr="00214607" w:rsidRDefault="00CF33D6" w:rsidP="00F66009">
      <w:r w:rsidRPr="00214607">
        <w:t>A</w:t>
      </w:r>
      <w:r w:rsidR="007B2251" w:rsidRPr="00214607">
        <w:t>nalyst</w:t>
      </w:r>
      <w:r w:rsidR="00F32D4D" w:rsidRPr="00214607">
        <w:t>’s</w:t>
      </w:r>
      <w:r w:rsidR="007B2251" w:rsidRPr="00214607">
        <w:t xml:space="preserve"> estimates expect </w:t>
      </w:r>
      <w:r w:rsidRPr="00214607">
        <w:rPr>
          <w:b/>
          <w:bCs/>
        </w:rPr>
        <w:t>average global corporate earnings</w:t>
      </w:r>
      <w:r w:rsidR="007B2251" w:rsidRPr="00214607">
        <w:rPr>
          <w:b/>
          <w:bCs/>
        </w:rPr>
        <w:t xml:space="preserve"> </w:t>
      </w:r>
      <w:r w:rsidRPr="00214607">
        <w:rPr>
          <w:b/>
          <w:bCs/>
        </w:rPr>
        <w:t xml:space="preserve">to </w:t>
      </w:r>
      <w:r w:rsidR="00F83F54" w:rsidRPr="00214607">
        <w:rPr>
          <w:b/>
          <w:bCs/>
        </w:rPr>
        <w:t>decline around</w:t>
      </w:r>
      <w:r w:rsidR="007B2251" w:rsidRPr="00214607">
        <w:rPr>
          <w:b/>
          <w:bCs/>
        </w:rPr>
        <w:t xml:space="preserve"> </w:t>
      </w:r>
      <w:r w:rsidR="00EE20CC" w:rsidRPr="00214607">
        <w:rPr>
          <w:b/>
          <w:bCs/>
        </w:rPr>
        <w:t>17</w:t>
      </w:r>
      <w:r w:rsidR="007B2251" w:rsidRPr="00214607">
        <w:rPr>
          <w:b/>
          <w:bCs/>
        </w:rPr>
        <w:t>%in 2020</w:t>
      </w:r>
      <w:r w:rsidR="007B2251" w:rsidRPr="00214607">
        <w:t xml:space="preserve"> </w:t>
      </w:r>
      <w:r w:rsidRPr="00214607">
        <w:t>with a tentative rebound of over 25% next year</w:t>
      </w:r>
      <w:r w:rsidR="00EE20CC" w:rsidRPr="00214607">
        <w:t xml:space="preserve"> Source (Morgan Stanley)</w:t>
      </w:r>
      <w:r w:rsidRPr="00214607">
        <w:t xml:space="preserve">. There is </w:t>
      </w:r>
      <w:r w:rsidR="00F83F54" w:rsidRPr="00214607">
        <w:t>exceptionally large</w:t>
      </w:r>
      <w:r w:rsidRPr="00214607">
        <w:t xml:space="preserve"> country to country variation. </w:t>
      </w:r>
      <w:r w:rsidR="00F83F54" w:rsidRPr="00214607">
        <w:t>Europe, including</w:t>
      </w:r>
      <w:r w:rsidRPr="00214607">
        <w:t xml:space="preserve"> UK, is expected to </w:t>
      </w:r>
      <w:r w:rsidR="00F83F54" w:rsidRPr="00214607">
        <w:t>underperform the</w:t>
      </w:r>
      <w:r w:rsidRPr="00214607">
        <w:t xml:space="preserve"> </w:t>
      </w:r>
      <w:r w:rsidR="00F83F54" w:rsidRPr="00214607">
        <w:t>US</w:t>
      </w:r>
      <w:r w:rsidR="00EE20CC" w:rsidRPr="00214607">
        <w:t xml:space="preserve"> in 2020 while outperform in 2021</w:t>
      </w:r>
      <w:r w:rsidR="00F83F54" w:rsidRPr="00214607">
        <w:t>, while</w:t>
      </w:r>
      <w:r w:rsidRPr="00214607">
        <w:t xml:space="preserve"> Japan is one of the zones experiencing more economic and corporate resilience.</w:t>
      </w:r>
      <w:r w:rsidR="00A14686" w:rsidRPr="00214607">
        <w:t xml:space="preserve"> This</w:t>
      </w:r>
      <w:r w:rsidRPr="00214607">
        <w:t xml:space="preserve"> is </w:t>
      </w:r>
      <w:r w:rsidR="00F83F54" w:rsidRPr="00214607">
        <w:t>also true</w:t>
      </w:r>
      <w:r w:rsidR="00E51574" w:rsidRPr="00214607">
        <w:t xml:space="preserve"> in China</w:t>
      </w:r>
      <w:r w:rsidR="00F32D4D" w:rsidRPr="00214607">
        <w:t>,</w:t>
      </w:r>
      <w:r w:rsidR="00E51574" w:rsidRPr="00214607">
        <w:t xml:space="preserve"> but also Korea</w:t>
      </w:r>
      <w:r w:rsidR="00F32D4D" w:rsidRPr="00214607">
        <w:t xml:space="preserve"> and</w:t>
      </w:r>
      <w:r w:rsidR="00E51574" w:rsidRPr="00214607">
        <w:t xml:space="preserve"> Taiwan where the combination of better COVID experience and export </w:t>
      </w:r>
      <w:r w:rsidR="00774EAD" w:rsidRPr="00214607">
        <w:t>mix (technology, medical</w:t>
      </w:r>
      <w:r w:rsidR="00A44787" w:rsidRPr="00214607">
        <w:t>)</w:t>
      </w:r>
      <w:r w:rsidR="00E51574" w:rsidRPr="00214607">
        <w:t xml:space="preserve"> is cushioning the economic </w:t>
      </w:r>
      <w:r w:rsidR="008E0729" w:rsidRPr="00214607">
        <w:t>blow. Reflecting</w:t>
      </w:r>
      <w:r w:rsidR="00EE20CC" w:rsidRPr="00214607">
        <w:t xml:space="preserve"> the above</w:t>
      </w:r>
      <w:r w:rsidR="008E0729" w:rsidRPr="00214607">
        <w:t xml:space="preserve"> and noting index sectoral breakdowns,</w:t>
      </w:r>
      <w:r w:rsidR="00EE20CC" w:rsidRPr="00214607">
        <w:t xml:space="preserve"> dividends seem likely to fall furthest and recover</w:t>
      </w:r>
      <w:r w:rsidR="00585279" w:rsidRPr="00214607">
        <w:t xml:space="preserve"> most</w:t>
      </w:r>
      <w:r w:rsidR="00EE20CC" w:rsidRPr="00214607">
        <w:t xml:space="preserve"> </w:t>
      </w:r>
      <w:r w:rsidR="008E0729" w:rsidRPr="00214607">
        <w:t>strongly in Europe.</w:t>
      </w:r>
    </w:p>
    <w:p w14:paraId="0C246913" w14:textId="716650CB" w:rsidR="003A18B2" w:rsidRPr="00214607" w:rsidRDefault="003A18B2" w:rsidP="00F66009"/>
    <w:p w14:paraId="7D366EFB" w14:textId="0DD811B7" w:rsidR="00A41937" w:rsidRPr="00214607" w:rsidRDefault="00A41937" w:rsidP="00F66009"/>
    <w:p w14:paraId="79834F48" w14:textId="77777777" w:rsidR="00A41937" w:rsidRPr="00214607" w:rsidRDefault="00A41937" w:rsidP="00F66009"/>
    <w:p w14:paraId="67C696AE" w14:textId="77777777" w:rsidR="002B6421" w:rsidRPr="00214607" w:rsidRDefault="00F66009" w:rsidP="00F66009">
      <w:pPr>
        <w:rPr>
          <w:b/>
          <w:bCs/>
        </w:rPr>
      </w:pPr>
      <w:r w:rsidRPr="00214607">
        <w:rPr>
          <w:b/>
          <w:bCs/>
        </w:rPr>
        <w:t>Although currently further from investor worries, growing concerns regarding global trade tensions (many), government debt (over 100% Debt/GDP), USA/China</w:t>
      </w:r>
      <w:r w:rsidR="008F5107" w:rsidRPr="00214607">
        <w:rPr>
          <w:b/>
          <w:bCs/>
        </w:rPr>
        <w:t>/Australia</w:t>
      </w:r>
      <w:r w:rsidRPr="00214607">
        <w:rPr>
          <w:b/>
          <w:bCs/>
        </w:rPr>
        <w:t xml:space="preserve">/Hong Kong </w:t>
      </w:r>
      <w:r w:rsidR="004107FB" w:rsidRPr="00214607">
        <w:rPr>
          <w:b/>
          <w:bCs/>
        </w:rPr>
        <w:t>relations, BREXIT</w:t>
      </w:r>
      <w:r w:rsidRPr="00214607">
        <w:rPr>
          <w:b/>
          <w:bCs/>
        </w:rPr>
        <w:t>, and</w:t>
      </w:r>
      <w:r w:rsidR="00585279" w:rsidRPr="00214607">
        <w:rPr>
          <w:b/>
          <w:bCs/>
        </w:rPr>
        <w:t xml:space="preserve"> Senate make up</w:t>
      </w:r>
      <w:r w:rsidR="003A18B2" w:rsidRPr="00214607">
        <w:rPr>
          <w:b/>
          <w:bCs/>
        </w:rPr>
        <w:t xml:space="preserve"> are</w:t>
      </w:r>
      <w:r w:rsidRPr="00214607">
        <w:rPr>
          <w:b/>
          <w:bCs/>
        </w:rPr>
        <w:t xml:space="preserve"> not far </w:t>
      </w:r>
      <w:r w:rsidR="002B6421" w:rsidRPr="00214607">
        <w:rPr>
          <w:b/>
          <w:bCs/>
        </w:rPr>
        <w:t>away. It will be increasingly important to watch inflation trends, as any “shock” necessitating greater than forecast bond yields could have serious repercussions for many asset classes.</w:t>
      </w:r>
    </w:p>
    <w:p w14:paraId="25C1C4A9" w14:textId="4EA11C2D" w:rsidR="00F66009" w:rsidRPr="002B6421" w:rsidRDefault="00A246F5" w:rsidP="00F66009">
      <w:r w:rsidRPr="00214607">
        <w:rPr>
          <w:b/>
          <w:bCs/>
        </w:rPr>
        <w:t>M</w:t>
      </w:r>
      <w:r w:rsidR="006E04D5" w:rsidRPr="00214607">
        <w:rPr>
          <w:b/>
          <w:bCs/>
        </w:rPr>
        <w:t xml:space="preserve">ore intangible in </w:t>
      </w:r>
      <w:r w:rsidR="00A524AB" w:rsidRPr="00214607">
        <w:rPr>
          <w:b/>
          <w:bCs/>
        </w:rPr>
        <w:t>nature, the</w:t>
      </w:r>
      <w:r w:rsidR="006E04D5" w:rsidRPr="00214607">
        <w:rPr>
          <w:b/>
          <w:bCs/>
        </w:rPr>
        <w:t xml:space="preserve"> </w:t>
      </w:r>
      <w:r w:rsidR="00A524AB" w:rsidRPr="00214607">
        <w:rPr>
          <w:b/>
          <w:bCs/>
        </w:rPr>
        <w:t>pandemic also</w:t>
      </w:r>
      <w:r w:rsidR="006E04D5" w:rsidRPr="00214607">
        <w:rPr>
          <w:b/>
          <w:bCs/>
        </w:rPr>
        <w:t xml:space="preserve"> seems certain to amplify global inequalities (</w:t>
      </w:r>
      <w:r w:rsidR="00C17023" w:rsidRPr="00214607">
        <w:rPr>
          <w:b/>
          <w:bCs/>
        </w:rPr>
        <w:t xml:space="preserve">regional, </w:t>
      </w:r>
      <w:r w:rsidR="0045145B" w:rsidRPr="00214607">
        <w:rPr>
          <w:b/>
          <w:bCs/>
        </w:rPr>
        <w:t xml:space="preserve">medical, </w:t>
      </w:r>
      <w:r w:rsidR="008F5107" w:rsidRPr="00214607">
        <w:rPr>
          <w:b/>
          <w:bCs/>
        </w:rPr>
        <w:t xml:space="preserve">employment, </w:t>
      </w:r>
      <w:r w:rsidR="002B6421" w:rsidRPr="00214607">
        <w:rPr>
          <w:b/>
          <w:bCs/>
        </w:rPr>
        <w:t>poverty, demographic</w:t>
      </w:r>
      <w:r w:rsidR="006E04D5" w:rsidRPr="00214607">
        <w:rPr>
          <w:b/>
          <w:bCs/>
        </w:rPr>
        <w:t>) which could manifest in growing social un</w:t>
      </w:r>
      <w:r w:rsidRPr="00214607">
        <w:rPr>
          <w:b/>
          <w:bCs/>
        </w:rPr>
        <w:t>rest</w:t>
      </w:r>
      <w:r w:rsidR="006E04D5" w:rsidRPr="00214607">
        <w:rPr>
          <w:b/>
          <w:bCs/>
        </w:rPr>
        <w:t>.</w:t>
      </w:r>
    </w:p>
    <w:p w14:paraId="17D58FA6" w14:textId="15A248A9" w:rsidR="007B2251" w:rsidRPr="00533486" w:rsidRDefault="007B2251" w:rsidP="007B2251"/>
    <w:p w14:paraId="6E8E9D42" w14:textId="77777777" w:rsidR="00C50C88" w:rsidRPr="00533486" w:rsidRDefault="00C50C88" w:rsidP="006D121D"/>
    <w:p w14:paraId="4A7C7D25" w14:textId="77777777" w:rsidR="00ED11CE" w:rsidRPr="00AB3BD9" w:rsidRDefault="00ED11CE" w:rsidP="00ED11CE">
      <w:r w:rsidRPr="00AB3BD9">
        <w:rPr>
          <w:b/>
          <w:bCs/>
          <w:u w:val="single"/>
        </w:rPr>
        <w:t>Equities</w:t>
      </w:r>
    </w:p>
    <w:p w14:paraId="5C4010E9" w14:textId="174EF692" w:rsidR="003315C1" w:rsidRPr="00AB3BD9" w:rsidRDefault="00B364B5" w:rsidP="005B7493">
      <w:r w:rsidRPr="00AB3BD9">
        <w:lastRenderedPageBreak/>
        <w:t xml:space="preserve">Global </w:t>
      </w:r>
      <w:r w:rsidR="000C2144" w:rsidRPr="00AB3BD9">
        <w:t xml:space="preserve">Equities </w:t>
      </w:r>
      <w:r w:rsidR="003315C1" w:rsidRPr="00AB3BD9">
        <w:t xml:space="preserve">showed </w:t>
      </w:r>
      <w:r w:rsidR="00936ADF" w:rsidRPr="00AB3BD9">
        <w:t>a</w:t>
      </w:r>
      <w:r w:rsidR="008F5107" w:rsidRPr="00AB3BD9">
        <w:t xml:space="preserve"> large</w:t>
      </w:r>
      <w:r w:rsidR="00936ADF" w:rsidRPr="00AB3BD9">
        <w:t xml:space="preserve"> </w:t>
      </w:r>
      <w:r w:rsidR="00DB5BC9" w:rsidRPr="00AB3BD9">
        <w:t>gain, in</w:t>
      </w:r>
      <w:r w:rsidR="00936ADF" w:rsidRPr="00AB3BD9">
        <w:t xml:space="preserve"> </w:t>
      </w:r>
      <w:r w:rsidR="00DB5BC9" w:rsidRPr="00AB3BD9">
        <w:t>aggregate over</w:t>
      </w:r>
      <w:r w:rsidR="003315C1" w:rsidRPr="00AB3BD9">
        <w:t xml:space="preserve"> </w:t>
      </w:r>
      <w:r w:rsidR="008F5107" w:rsidRPr="00AB3BD9">
        <w:t>November</w:t>
      </w:r>
      <w:r w:rsidR="003E338F" w:rsidRPr="00AB3BD9">
        <w:t xml:space="preserve"> ,</w:t>
      </w:r>
      <w:r w:rsidR="00A4561C" w:rsidRPr="00AB3BD9">
        <w:t>2020, one of the largest monthly gains on record.</w:t>
      </w:r>
      <w:r w:rsidR="00BF7EEB" w:rsidRPr="00AB3BD9">
        <w:t xml:space="preserve"> </w:t>
      </w:r>
      <w:r w:rsidR="00415A67" w:rsidRPr="00AB3BD9">
        <w:t>T</w:t>
      </w:r>
      <w:r w:rsidR="00BF7EEB" w:rsidRPr="00AB3BD9">
        <w:t>he</w:t>
      </w:r>
      <w:r w:rsidR="000C2144" w:rsidRPr="00AB3BD9">
        <w:t xml:space="preserve"> FTSE ALL World Index</w:t>
      </w:r>
      <w:r w:rsidR="001670BC" w:rsidRPr="00AB3BD9">
        <w:t xml:space="preserve"> </w:t>
      </w:r>
      <w:r w:rsidR="00380A4F" w:rsidRPr="00AB3BD9">
        <w:t>registered</w:t>
      </w:r>
      <w:r w:rsidR="00953A70" w:rsidRPr="00AB3BD9">
        <w:t xml:space="preserve"> a </w:t>
      </w:r>
      <w:r w:rsidR="00936ADF" w:rsidRPr="00AB3BD9">
        <w:t>gain</w:t>
      </w:r>
      <w:r w:rsidR="00E51B8E" w:rsidRPr="00AB3BD9">
        <w:t xml:space="preserve"> of over </w:t>
      </w:r>
      <w:r w:rsidR="00214607" w:rsidRPr="00AB3BD9">
        <w:t>12%</w:t>
      </w:r>
      <w:r w:rsidR="00F3403F" w:rsidRPr="00AB3BD9">
        <w:t xml:space="preserve"> o</w:t>
      </w:r>
      <w:r w:rsidR="00953A70" w:rsidRPr="00AB3BD9">
        <w:t xml:space="preserve">ver </w:t>
      </w:r>
      <w:r w:rsidR="00F3403F" w:rsidRPr="00AB3BD9">
        <w:t>the month</w:t>
      </w:r>
      <w:r w:rsidR="00953A70" w:rsidRPr="00AB3BD9">
        <w:t xml:space="preserve"> and</w:t>
      </w:r>
      <w:r w:rsidR="006B16B5" w:rsidRPr="00AB3BD9">
        <w:t xml:space="preserve"> is</w:t>
      </w:r>
      <w:r w:rsidR="00023DB2" w:rsidRPr="00AB3BD9">
        <w:t xml:space="preserve"> now </w:t>
      </w:r>
      <w:r w:rsidR="00DB5BC9" w:rsidRPr="00AB3BD9">
        <w:t xml:space="preserve">up </w:t>
      </w:r>
      <w:r w:rsidR="00214607" w:rsidRPr="00AB3BD9">
        <w:t>over</w:t>
      </w:r>
      <w:r w:rsidR="00E51B8E" w:rsidRPr="00AB3BD9">
        <w:t xml:space="preserve"> </w:t>
      </w:r>
      <w:r w:rsidR="00214607" w:rsidRPr="00AB3BD9">
        <w:t>10%</w:t>
      </w:r>
      <w:r w:rsidR="000C2144" w:rsidRPr="00AB3BD9">
        <w:t xml:space="preserve"> </w:t>
      </w:r>
      <w:r w:rsidR="00DC12F2" w:rsidRPr="00AB3BD9">
        <w:t xml:space="preserve">since the year </w:t>
      </w:r>
      <w:r w:rsidR="003E338F" w:rsidRPr="00AB3BD9">
        <w:t xml:space="preserve">end, in dollar </w:t>
      </w:r>
      <w:r w:rsidR="006050B9" w:rsidRPr="00AB3BD9">
        <w:t>terms</w:t>
      </w:r>
      <w:r w:rsidR="00936ADF" w:rsidRPr="00AB3BD9">
        <w:t>.</w:t>
      </w:r>
      <w:r w:rsidR="007469C3" w:rsidRPr="00AB3BD9">
        <w:t xml:space="preserve"> </w:t>
      </w:r>
      <w:r w:rsidR="00AD4A5F" w:rsidRPr="00AB3BD9">
        <w:t>The UK broad and narrow market indices</w:t>
      </w:r>
      <w:r w:rsidR="004D4EDF" w:rsidRPr="00AB3BD9">
        <w:t xml:space="preserve"> </w:t>
      </w:r>
      <w:r w:rsidR="008F5107" w:rsidRPr="00AB3BD9">
        <w:t xml:space="preserve">rose </w:t>
      </w:r>
      <w:r w:rsidR="00AD4A5F" w:rsidRPr="00AB3BD9">
        <w:t xml:space="preserve">by </w:t>
      </w:r>
      <w:r w:rsidR="00214607" w:rsidRPr="00AB3BD9">
        <w:t>approximately 12.5%</w:t>
      </w:r>
      <w:r w:rsidR="00F32D4D" w:rsidRPr="00AB3BD9">
        <w:t xml:space="preserve"> during </w:t>
      </w:r>
      <w:r w:rsidR="008F5107" w:rsidRPr="00AB3BD9">
        <w:t xml:space="preserve">November but have still </w:t>
      </w:r>
      <w:r w:rsidR="00AD4A5F" w:rsidRPr="00AB3BD9">
        <w:t xml:space="preserve">declined </w:t>
      </w:r>
      <w:r w:rsidR="00DD623A" w:rsidRPr="00AB3BD9">
        <w:t>around 16%</w:t>
      </w:r>
      <w:r w:rsidR="008F5107" w:rsidRPr="00AB3BD9">
        <w:t xml:space="preserve"> since the beginning of the </w:t>
      </w:r>
      <w:r w:rsidR="00AD4A5F" w:rsidRPr="00AB3BD9">
        <w:t>year. European</w:t>
      </w:r>
      <w:r w:rsidR="008F5107" w:rsidRPr="00AB3BD9">
        <w:t xml:space="preserve"> and Japanese equities led the monthly </w:t>
      </w:r>
      <w:r w:rsidR="00AD4A5F" w:rsidRPr="00AB3BD9">
        <w:t>gain, partly</w:t>
      </w:r>
      <w:r w:rsidR="008F5107" w:rsidRPr="00AB3BD9">
        <w:t xml:space="preserve"> due to the more cyclical/value index breakdowns while the </w:t>
      </w:r>
      <w:proofErr w:type="spellStart"/>
      <w:proofErr w:type="gramStart"/>
      <w:r w:rsidR="008F5107" w:rsidRPr="00AB3BD9">
        <w:t>NASDAQ</w:t>
      </w:r>
      <w:r w:rsidR="00DD623A" w:rsidRPr="00AB3BD9">
        <w:t>,Asia</w:t>
      </w:r>
      <w:proofErr w:type="spellEnd"/>
      <w:proofErr w:type="gramEnd"/>
      <w:r w:rsidR="00DD623A" w:rsidRPr="00AB3BD9">
        <w:t>-ex Japan and emerging markets</w:t>
      </w:r>
      <w:r w:rsidR="008F5107" w:rsidRPr="00AB3BD9">
        <w:t xml:space="preserve"> </w:t>
      </w:r>
      <w:r w:rsidR="00AD4A5F" w:rsidRPr="00AB3BD9">
        <w:t>lagged. The</w:t>
      </w:r>
      <w:r w:rsidR="008F5107" w:rsidRPr="00AB3BD9">
        <w:t xml:space="preserve"> VIX </w:t>
      </w:r>
      <w:r w:rsidR="0048623D" w:rsidRPr="00AB3BD9">
        <w:t>index, ending</w:t>
      </w:r>
      <w:r w:rsidR="008F5107" w:rsidRPr="00AB3BD9">
        <w:t xml:space="preserve"> the month at </w:t>
      </w:r>
      <w:r w:rsidR="0048623D" w:rsidRPr="00AB3BD9">
        <w:t>21.77, showed</w:t>
      </w:r>
      <w:r w:rsidR="008F5107" w:rsidRPr="00AB3BD9">
        <w:t xml:space="preserve"> a monthly fall of     </w:t>
      </w:r>
      <w:r w:rsidR="00DD623A" w:rsidRPr="00AB3BD9">
        <w:t>43.64%</w:t>
      </w:r>
      <w:r w:rsidR="008F5107" w:rsidRPr="00AB3BD9">
        <w:t>.</w:t>
      </w:r>
    </w:p>
    <w:p w14:paraId="201C6EAF" w14:textId="77777777" w:rsidR="00D17E3E" w:rsidRPr="00AB3BD9" w:rsidRDefault="00D17E3E" w:rsidP="005B7493"/>
    <w:p w14:paraId="38580F6E" w14:textId="2DBACAFE" w:rsidR="005E4BAC" w:rsidRPr="00AB3BD9" w:rsidRDefault="005B7493" w:rsidP="005E4BAC">
      <w:pPr>
        <w:rPr>
          <w:b/>
          <w:u w:val="single"/>
        </w:rPr>
      </w:pPr>
      <w:r w:rsidRPr="00AB3BD9">
        <w:rPr>
          <w:b/>
          <w:u w:val="single"/>
        </w:rPr>
        <w:t>UK Sectors</w:t>
      </w:r>
    </w:p>
    <w:p w14:paraId="5361D5F0" w14:textId="19A16AF3" w:rsidR="005340B9" w:rsidRDefault="008F5107" w:rsidP="00ED11CE">
      <w:pPr>
        <w:rPr>
          <w:b/>
        </w:rPr>
      </w:pPr>
      <w:r w:rsidRPr="00AB3BD9">
        <w:rPr>
          <w:bCs/>
        </w:rPr>
        <w:t xml:space="preserve">Huge variation was shown between sectors during the </w:t>
      </w:r>
      <w:r w:rsidR="006C2B8C" w:rsidRPr="00AB3BD9">
        <w:rPr>
          <w:bCs/>
        </w:rPr>
        <w:t>month, the</w:t>
      </w:r>
      <w:r w:rsidR="00C06A9A" w:rsidRPr="00AB3BD9">
        <w:rPr>
          <w:bCs/>
        </w:rPr>
        <w:t xml:space="preserve"> gap between the best and worst performing sectors being over </w:t>
      </w:r>
      <w:r w:rsidR="00DD623A" w:rsidRPr="00AB3BD9">
        <w:rPr>
          <w:bCs/>
        </w:rPr>
        <w:t>31%</w:t>
      </w:r>
      <w:r w:rsidR="00C06A9A" w:rsidRPr="00AB3BD9">
        <w:rPr>
          <w:bCs/>
        </w:rPr>
        <w:t>%.</w:t>
      </w:r>
      <w:r w:rsidR="00A77EE7" w:rsidRPr="00AB3BD9">
        <w:rPr>
          <w:bCs/>
        </w:rPr>
        <w:t xml:space="preserve"> Year to </w:t>
      </w:r>
      <w:r w:rsidR="00AD4A5F" w:rsidRPr="00AB3BD9">
        <w:rPr>
          <w:bCs/>
        </w:rPr>
        <w:t>date, only</w:t>
      </w:r>
      <w:r w:rsidR="00C06A9A" w:rsidRPr="00AB3BD9">
        <w:rPr>
          <w:bCs/>
        </w:rPr>
        <w:t xml:space="preserve"> one </w:t>
      </w:r>
      <w:r w:rsidR="00A4561C" w:rsidRPr="00AB3BD9">
        <w:rPr>
          <w:bCs/>
        </w:rPr>
        <w:t>sector (</w:t>
      </w:r>
      <w:r w:rsidR="00DD623A" w:rsidRPr="00AB3BD9">
        <w:rPr>
          <w:bCs/>
        </w:rPr>
        <w:t>mining</w:t>
      </w:r>
      <w:r w:rsidR="00C06A9A" w:rsidRPr="00AB3BD9">
        <w:rPr>
          <w:bCs/>
        </w:rPr>
        <w:t xml:space="preserve">) is in positive </w:t>
      </w:r>
      <w:r w:rsidR="006C2B8C" w:rsidRPr="00AB3BD9">
        <w:rPr>
          <w:bCs/>
        </w:rPr>
        <w:t>territory, the</w:t>
      </w:r>
      <w:r w:rsidR="00C06A9A" w:rsidRPr="00AB3BD9">
        <w:rPr>
          <w:bCs/>
        </w:rPr>
        <w:t xml:space="preserve"> worst (oil and gas) still down </w:t>
      </w:r>
      <w:r w:rsidR="00DD623A" w:rsidRPr="00AB3BD9">
        <w:rPr>
          <w:bCs/>
        </w:rPr>
        <w:t>51%</w:t>
      </w:r>
      <w:r w:rsidR="00C06A9A" w:rsidRPr="00AB3BD9">
        <w:rPr>
          <w:bCs/>
        </w:rPr>
        <w:t>.</w:t>
      </w:r>
      <w:r w:rsidR="00A77EE7" w:rsidRPr="00AB3BD9">
        <w:rPr>
          <w:bCs/>
        </w:rPr>
        <w:t xml:space="preserve"> The</w:t>
      </w:r>
      <w:r w:rsidR="005340B9" w:rsidRPr="00AB3BD9">
        <w:rPr>
          <w:bCs/>
        </w:rPr>
        <w:t xml:space="preserve"> “</w:t>
      </w:r>
      <w:r w:rsidR="008E1D75" w:rsidRPr="00AB3BD9">
        <w:rPr>
          <w:b/>
        </w:rPr>
        <w:t>average” All</w:t>
      </w:r>
      <w:r w:rsidR="00575AD2" w:rsidRPr="00AB3BD9">
        <w:rPr>
          <w:b/>
        </w:rPr>
        <w:t>-UK unit trus</w:t>
      </w:r>
      <w:r w:rsidR="00F71AFF" w:rsidRPr="00AB3BD9">
        <w:rPr>
          <w:b/>
        </w:rPr>
        <w:t>t</w:t>
      </w:r>
      <w:r w:rsidR="00575AD2" w:rsidRPr="00AB3BD9">
        <w:rPr>
          <w:b/>
        </w:rPr>
        <w:t xml:space="preserve"> is now down about </w:t>
      </w:r>
      <w:r w:rsidR="00AB3BD9" w:rsidRPr="00AB3BD9">
        <w:rPr>
          <w:b/>
        </w:rPr>
        <w:t>10%</w:t>
      </w:r>
      <w:r w:rsidR="00575AD2" w:rsidRPr="00AB3BD9">
        <w:rPr>
          <w:b/>
        </w:rPr>
        <w:t xml:space="preserve"> year to date with smaller companies outperforming</w:t>
      </w:r>
      <w:r w:rsidR="00B16FE6" w:rsidRPr="00AB3BD9">
        <w:rPr>
          <w:b/>
        </w:rPr>
        <w:t xml:space="preserve"> significantly</w:t>
      </w:r>
      <w:r w:rsidR="00575AD2" w:rsidRPr="00AB3BD9">
        <w:rPr>
          <w:b/>
        </w:rPr>
        <w:t xml:space="preserve"> and income companies </w:t>
      </w:r>
      <w:r w:rsidR="00F71AFF" w:rsidRPr="00AB3BD9">
        <w:rPr>
          <w:b/>
        </w:rPr>
        <w:t>underperforming</w:t>
      </w:r>
      <w:r w:rsidR="00852042" w:rsidRPr="00AB3BD9">
        <w:rPr>
          <w:b/>
        </w:rPr>
        <w:t xml:space="preserve"> (</w:t>
      </w:r>
      <w:r w:rsidR="00AB3BD9" w:rsidRPr="00AB3BD9">
        <w:rPr>
          <w:b/>
        </w:rPr>
        <w:t>-13.8%</w:t>
      </w:r>
      <w:r w:rsidR="00852042" w:rsidRPr="00AB3BD9">
        <w:rPr>
          <w:b/>
        </w:rPr>
        <w:t>)</w:t>
      </w:r>
      <w:r w:rsidR="00AD4A5F" w:rsidRPr="00AB3BD9">
        <w:rPr>
          <w:b/>
        </w:rPr>
        <w:t>.However, over the last month the UK income sector was actually the leading IA unit trust sector, as large buying interest returned to oils,financials,telco’s and financials.</w:t>
      </w:r>
      <w:r w:rsidR="00C518BC" w:rsidRPr="00C518BC">
        <w:t xml:space="preserve"> </w:t>
      </w:r>
    </w:p>
    <w:p w14:paraId="1224BA1A" w14:textId="26043916" w:rsidR="00C518BC" w:rsidRDefault="00C518BC" w:rsidP="00ED11CE">
      <w:pPr>
        <w:rPr>
          <w:b/>
        </w:rPr>
      </w:pPr>
    </w:p>
    <w:p w14:paraId="62301F93" w14:textId="510D7E76" w:rsidR="00C518BC" w:rsidRDefault="00C518BC" w:rsidP="00C518BC">
      <w:pPr>
        <w:jc w:val="center"/>
        <w:rPr>
          <w:b/>
        </w:rPr>
      </w:pPr>
      <w:r>
        <w:rPr>
          <w:b/>
        </w:rPr>
        <w:t>1 YEAR FTSE</w:t>
      </w:r>
      <w:r w:rsidR="002A6834">
        <w:rPr>
          <w:b/>
        </w:rPr>
        <w:t xml:space="preserve"> to November 27th</w:t>
      </w:r>
    </w:p>
    <w:p w14:paraId="008B023C" w14:textId="62825756" w:rsidR="002A6834" w:rsidRPr="002A6834" w:rsidRDefault="002A6834" w:rsidP="002A6834">
      <w:pPr>
        <w:rPr>
          <w:bCs/>
        </w:rPr>
      </w:pPr>
      <w:r>
        <w:rPr>
          <w:noProof/>
        </w:rPr>
        <w:drawing>
          <wp:inline distT="0" distB="0" distL="0" distR="0" wp14:anchorId="3A452577" wp14:editId="2E577D59">
            <wp:extent cx="5731510" cy="286258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862580"/>
                    </a:xfrm>
                    <a:prstGeom prst="rect">
                      <a:avLst/>
                    </a:prstGeom>
                    <a:noFill/>
                    <a:ln>
                      <a:noFill/>
                    </a:ln>
                  </pic:spPr>
                </pic:pic>
              </a:graphicData>
            </a:graphic>
          </wp:inline>
        </w:drawing>
      </w:r>
    </w:p>
    <w:p w14:paraId="65FB175D" w14:textId="6CBC32B5" w:rsidR="00C518BC" w:rsidRDefault="00C518BC" w:rsidP="00ED11CE">
      <w:pPr>
        <w:rPr>
          <w:b/>
        </w:rPr>
      </w:pPr>
    </w:p>
    <w:p w14:paraId="5BEED088" w14:textId="77777777" w:rsidR="005340B9" w:rsidRPr="00533486" w:rsidRDefault="005340B9" w:rsidP="00ED11CE">
      <w:pPr>
        <w:rPr>
          <w:bCs/>
        </w:rPr>
      </w:pPr>
    </w:p>
    <w:p w14:paraId="6FEFC72A" w14:textId="6B594D13" w:rsidR="00ED11CE" w:rsidRPr="00973C55" w:rsidRDefault="00ED11CE" w:rsidP="00ED11CE">
      <w:r w:rsidRPr="00973C55">
        <w:rPr>
          <w:b/>
          <w:bCs/>
          <w:u w:val="single"/>
        </w:rPr>
        <w:t>Fixed Interest</w:t>
      </w:r>
    </w:p>
    <w:p w14:paraId="5CB88B38" w14:textId="037B56A7" w:rsidR="00ED11CE" w:rsidRPr="00973C55" w:rsidRDefault="007B7309" w:rsidP="004D3AA4">
      <w:pPr>
        <w:rPr>
          <w:b/>
        </w:rPr>
      </w:pPr>
      <w:r w:rsidRPr="00AB3BD9">
        <w:t>Gilt</w:t>
      </w:r>
      <w:r w:rsidR="005B1D1E" w:rsidRPr="00AB3BD9">
        <w:t xml:space="preserve"> prices</w:t>
      </w:r>
      <w:r w:rsidR="00D0303D" w:rsidRPr="00AB3BD9">
        <w:t xml:space="preserve"> </w:t>
      </w:r>
      <w:r w:rsidR="00F32D4D" w:rsidRPr="00AB3BD9">
        <w:t>fell (</w:t>
      </w:r>
      <w:r w:rsidR="00CE4C48" w:rsidRPr="00AB3BD9">
        <w:t>Yields rose)</w:t>
      </w:r>
      <w:r w:rsidR="0017097D" w:rsidRPr="00AB3BD9">
        <w:t xml:space="preserve"> </w:t>
      </w:r>
      <w:r w:rsidR="00AB3BD9" w:rsidRPr="00AB3BD9">
        <w:t>0.84%</w:t>
      </w:r>
      <w:r w:rsidR="00D0303D" w:rsidRPr="00AB3BD9">
        <w:t xml:space="preserve"> over the month, the 10-year yield </w:t>
      </w:r>
      <w:r w:rsidR="004237EB" w:rsidRPr="00AB3BD9">
        <w:t xml:space="preserve">now at </w:t>
      </w:r>
      <w:r w:rsidR="00AB3BD9" w:rsidRPr="00AB3BD9">
        <w:t>30</w:t>
      </w:r>
      <w:r w:rsidR="00D0303D" w:rsidRPr="00AB3BD9">
        <w:t xml:space="preserve"> basis points (0.</w:t>
      </w:r>
      <w:r w:rsidR="00AB3BD9" w:rsidRPr="00AB3BD9">
        <w:t>30</w:t>
      </w:r>
      <w:r w:rsidR="00973C55" w:rsidRPr="00AB3BD9">
        <w:t>%</w:t>
      </w:r>
      <w:r w:rsidR="00D0303D" w:rsidRPr="00AB3BD9">
        <w:t>)</w:t>
      </w:r>
      <w:r w:rsidR="008A7E7D" w:rsidRPr="00AB3BD9">
        <w:t>.</w:t>
      </w:r>
      <w:r w:rsidR="00D65725" w:rsidRPr="00AB3BD9">
        <w:t xml:space="preserve"> </w:t>
      </w:r>
      <w:r w:rsidR="009F668F" w:rsidRPr="00AB3BD9">
        <w:t xml:space="preserve"> Other</w:t>
      </w:r>
      <w:r w:rsidR="00ED11CE" w:rsidRPr="00AB3BD9">
        <w:t xml:space="preserve"> </w:t>
      </w:r>
      <w:r w:rsidR="00383AF9" w:rsidRPr="00AB3BD9">
        <w:t>ten-year</w:t>
      </w:r>
      <w:r w:rsidR="0017097D" w:rsidRPr="00AB3BD9">
        <w:t xml:space="preserve"> government</w:t>
      </w:r>
      <w:r w:rsidR="00ED11CE" w:rsidRPr="00AB3BD9">
        <w:t xml:space="preserve"> </w:t>
      </w:r>
      <w:r w:rsidR="003A705D" w:rsidRPr="00AB3BD9">
        <w:t>yields also</w:t>
      </w:r>
      <w:r w:rsidR="00D0303D" w:rsidRPr="00AB3BD9">
        <w:t xml:space="preserve"> </w:t>
      </w:r>
      <w:r w:rsidR="0017097D" w:rsidRPr="00AB3BD9">
        <w:t>rose</w:t>
      </w:r>
      <w:r w:rsidR="00D0303D" w:rsidRPr="00AB3BD9">
        <w:t xml:space="preserve"> closing the</w:t>
      </w:r>
      <w:r w:rsidR="008A7E7D" w:rsidRPr="00AB3BD9">
        <w:t xml:space="preserve"> </w:t>
      </w:r>
      <w:r w:rsidR="00185B63" w:rsidRPr="00AB3BD9">
        <w:t>month</w:t>
      </w:r>
      <w:r w:rsidR="00D40D45" w:rsidRPr="00AB3BD9">
        <w:t xml:space="preserve"> at US</w:t>
      </w:r>
      <w:r w:rsidR="00F715DB" w:rsidRPr="00AB3BD9">
        <w:t>,</w:t>
      </w:r>
      <w:r w:rsidR="008A7E7D" w:rsidRPr="00AB3BD9">
        <w:t xml:space="preserve"> </w:t>
      </w:r>
      <w:r w:rsidR="00AD6FB4" w:rsidRPr="00AB3BD9">
        <w:t>0.</w:t>
      </w:r>
      <w:r w:rsidR="00794E36" w:rsidRPr="00AB3BD9">
        <w:t>8</w:t>
      </w:r>
      <w:r w:rsidR="00AB3BD9" w:rsidRPr="00AB3BD9">
        <w:t>5</w:t>
      </w:r>
      <w:r w:rsidR="00AD6FB4" w:rsidRPr="00AB3BD9">
        <w:t>%</w:t>
      </w:r>
      <w:r w:rsidR="00454E66" w:rsidRPr="00AB3BD9">
        <w:t>,</w:t>
      </w:r>
      <w:r w:rsidR="008A7E7D" w:rsidRPr="00AB3BD9">
        <w:t xml:space="preserve"> </w:t>
      </w:r>
      <w:r w:rsidR="00494357" w:rsidRPr="00AB3BD9">
        <w:t>Japan,</w:t>
      </w:r>
      <w:r w:rsidR="00B41FB0" w:rsidRPr="00AB3BD9">
        <w:t>0.0</w:t>
      </w:r>
      <w:r w:rsidR="00AB3BD9" w:rsidRPr="00AB3BD9">
        <w:t>3</w:t>
      </w:r>
      <w:r w:rsidR="00347732" w:rsidRPr="00AB3BD9">
        <w:t>%</w:t>
      </w:r>
      <w:r w:rsidR="00FA0442" w:rsidRPr="00AB3BD9">
        <w:t>,</w:t>
      </w:r>
      <w:r w:rsidR="009F668F" w:rsidRPr="00AB3BD9">
        <w:t xml:space="preserve"> and </w:t>
      </w:r>
      <w:r w:rsidR="008A7E7D" w:rsidRPr="00AB3BD9">
        <w:t>Germany</w:t>
      </w:r>
      <w:r w:rsidR="00694982" w:rsidRPr="00AB3BD9">
        <w:t>,</w:t>
      </w:r>
      <w:r w:rsidR="008A7E7D" w:rsidRPr="00AB3BD9">
        <w:t xml:space="preserve"> </w:t>
      </w:r>
      <w:r w:rsidR="00347732" w:rsidRPr="00AB3BD9">
        <w:t>-</w:t>
      </w:r>
      <w:r w:rsidR="00B41FB0" w:rsidRPr="00AB3BD9">
        <w:t>0.</w:t>
      </w:r>
      <w:r w:rsidR="00AB3BD9" w:rsidRPr="00AB3BD9">
        <w:t>57</w:t>
      </w:r>
      <w:r w:rsidR="00347732" w:rsidRPr="00AB3BD9">
        <w:t>%</w:t>
      </w:r>
      <w:r w:rsidR="004237EB" w:rsidRPr="00AB3BD9">
        <w:t xml:space="preserve"> </w:t>
      </w:r>
      <w:r w:rsidR="009C5962" w:rsidRPr="00AB3BD9">
        <w:t>.</w:t>
      </w:r>
      <w:r w:rsidR="00584C7B" w:rsidRPr="00AB3BD9">
        <w:t xml:space="preserve">However, </w:t>
      </w:r>
      <w:r w:rsidR="006C2B8C" w:rsidRPr="00AB3BD9">
        <w:t>other</w:t>
      </w:r>
      <w:r w:rsidR="00584C7B" w:rsidRPr="00AB3BD9">
        <w:t xml:space="preserve">  </w:t>
      </w:r>
      <w:r w:rsidR="00F61692" w:rsidRPr="00AB3BD9">
        <w:t>credit</w:t>
      </w:r>
      <w:r w:rsidR="006C2B8C" w:rsidRPr="00AB3BD9">
        <w:t xml:space="preserve"> mostly</w:t>
      </w:r>
      <w:r w:rsidR="00F61692" w:rsidRPr="00AB3BD9">
        <w:t xml:space="preserve"> rose</w:t>
      </w:r>
      <w:r w:rsidR="00584C7B" w:rsidRPr="00AB3BD9">
        <w:t xml:space="preserve"> in price terms</w:t>
      </w:r>
      <w:r w:rsidR="009C5962" w:rsidRPr="00AB3BD9">
        <w:t>,</w:t>
      </w:r>
      <w:r w:rsidR="00584C7B" w:rsidRPr="00AB3BD9">
        <w:t xml:space="preserve"> whether US junk, emerging markets or mid quality UK corporates. </w:t>
      </w:r>
      <w:r w:rsidR="00DF4854" w:rsidRPr="00AB3BD9">
        <w:t>This divergence</w:t>
      </w:r>
      <w:r w:rsidR="00A4561C" w:rsidRPr="00AB3BD9">
        <w:t xml:space="preserve"> suggests</w:t>
      </w:r>
      <w:r w:rsidR="00584C7B" w:rsidRPr="00AB3BD9">
        <w:t xml:space="preserve"> a</w:t>
      </w:r>
      <w:r w:rsidR="00AB3BD9" w:rsidRPr="00AB3BD9">
        <w:t xml:space="preserve"> continuing</w:t>
      </w:r>
      <w:r w:rsidR="00584C7B" w:rsidRPr="00AB3BD9">
        <w:t xml:space="preserve"> search for yield but avoidance of government debt, a stance, </w:t>
      </w:r>
      <w:r w:rsidR="00584C7B" w:rsidRPr="00AB3BD9">
        <w:rPr>
          <w:b/>
          <w:bCs/>
        </w:rPr>
        <w:t>within reason</w:t>
      </w:r>
      <w:r w:rsidR="00584C7B" w:rsidRPr="00AB3BD9">
        <w:t xml:space="preserve">, with which I can </w:t>
      </w:r>
      <w:r w:rsidR="009C5962" w:rsidRPr="00AB3BD9">
        <w:t>concur</w:t>
      </w:r>
      <w:r w:rsidR="008E1D75" w:rsidRPr="00AB3BD9">
        <w:t>, but great care is warranted in instrument selection</w:t>
      </w:r>
      <w:r w:rsidR="00584C7B" w:rsidRPr="00AB3BD9">
        <w:t>.</w:t>
      </w:r>
      <w:r w:rsidR="00ED11CE" w:rsidRPr="00AB3BD9">
        <w:t> </w:t>
      </w:r>
      <w:r w:rsidR="00461920" w:rsidRPr="00AB3BD9">
        <w:t>The well anticipated future change in</w:t>
      </w:r>
      <w:r w:rsidR="00F415FE" w:rsidRPr="00AB3BD9">
        <w:t xml:space="preserve"> UK price</w:t>
      </w:r>
      <w:r w:rsidR="00461920" w:rsidRPr="00AB3BD9">
        <w:t xml:space="preserve"> indexation will not be helpful for some defined benefit pensioners or holders of “</w:t>
      </w:r>
      <w:r w:rsidR="00A4561C" w:rsidRPr="00AB3BD9">
        <w:t>Linkers” …</w:t>
      </w:r>
      <w:r w:rsidR="00461920" w:rsidRPr="00AB3BD9">
        <w:t xml:space="preserve">but railway season ticket holders and student loans will </w:t>
      </w:r>
      <w:r w:rsidR="0048623D" w:rsidRPr="00AB3BD9">
        <w:t>benefit</w:t>
      </w:r>
      <w:r w:rsidR="0048623D">
        <w:t>, relatively</w:t>
      </w:r>
      <w:r w:rsidR="00461920" w:rsidRPr="00AB3BD9">
        <w:t xml:space="preserve">! </w:t>
      </w:r>
      <w:r w:rsidR="00ED11CE" w:rsidRPr="00AB3BD9">
        <w:t xml:space="preserve"> </w:t>
      </w:r>
      <w:r w:rsidR="005A5EF4" w:rsidRPr="00AB3BD9">
        <w:rPr>
          <w:b/>
        </w:rPr>
        <w:t xml:space="preserve"> </w:t>
      </w:r>
      <w:r w:rsidR="009C5962" w:rsidRPr="00AB3BD9">
        <w:rPr>
          <w:b/>
        </w:rPr>
        <w:t>Check</w:t>
      </w:r>
      <w:r w:rsidR="00513675" w:rsidRPr="00AB3BD9">
        <w:rPr>
          <w:b/>
        </w:rPr>
        <w:t xml:space="preserve"> my recommendations </w:t>
      </w:r>
      <w:r w:rsidR="00A06C37" w:rsidRPr="00AB3BD9">
        <w:rPr>
          <w:b/>
        </w:rPr>
        <w:t>in</w:t>
      </w:r>
      <w:r w:rsidR="00513675" w:rsidRPr="00AB3BD9">
        <w:rPr>
          <w:b/>
        </w:rPr>
        <w:t xml:space="preserve"> preference </w:t>
      </w:r>
      <w:r w:rsidR="00BB532A" w:rsidRPr="00AB3BD9">
        <w:rPr>
          <w:b/>
        </w:rPr>
        <w:t>shares</w:t>
      </w:r>
      <w:r w:rsidR="002F5F1D" w:rsidRPr="00AB3BD9">
        <w:rPr>
          <w:b/>
        </w:rPr>
        <w:t xml:space="preserve"> (note recent FCA/Aviva “apology”)</w:t>
      </w:r>
      <w:r w:rsidR="00BB532A" w:rsidRPr="00AB3BD9">
        <w:rPr>
          <w:b/>
        </w:rPr>
        <w:t>, corporate</w:t>
      </w:r>
      <w:r w:rsidR="00513675" w:rsidRPr="00AB3BD9">
        <w:rPr>
          <w:b/>
        </w:rPr>
        <w:t xml:space="preserve"> </w:t>
      </w:r>
      <w:r w:rsidR="00715AFB" w:rsidRPr="00AB3BD9">
        <w:rPr>
          <w:b/>
        </w:rPr>
        <w:t xml:space="preserve">bonds, floating rate </w:t>
      </w:r>
      <w:r w:rsidR="00363D00" w:rsidRPr="00AB3BD9">
        <w:rPr>
          <w:b/>
        </w:rPr>
        <w:t>bonds, speculative high yield</w:t>
      </w:r>
      <w:r w:rsidR="00513675" w:rsidRPr="00AB3BD9">
        <w:rPr>
          <w:b/>
        </w:rPr>
        <w:t xml:space="preserve"> </w:t>
      </w:r>
      <w:r w:rsidR="00715AFB" w:rsidRPr="00AB3BD9">
        <w:rPr>
          <w:b/>
        </w:rPr>
        <w:t>etc.</w:t>
      </w:r>
      <w:r w:rsidR="00B350A3" w:rsidRPr="00AB3BD9">
        <w:rPr>
          <w:b/>
        </w:rPr>
        <w:t xml:space="preserve"> A</w:t>
      </w:r>
      <w:r w:rsidR="00715AFB" w:rsidRPr="00AB3BD9">
        <w:rPr>
          <w:b/>
        </w:rPr>
        <w:t xml:space="preserve"> list of my top thirty income ideas from over 10</w:t>
      </w:r>
      <w:r w:rsidR="007F679C" w:rsidRPr="00AB3BD9">
        <w:rPr>
          <w:b/>
        </w:rPr>
        <w:t xml:space="preserve"> different</w:t>
      </w:r>
      <w:r w:rsidR="00715AFB" w:rsidRPr="00AB3BD9">
        <w:rPr>
          <w:b/>
        </w:rPr>
        <w:t xml:space="preserve"> asset classes is</w:t>
      </w:r>
      <w:r w:rsidR="00363D00" w:rsidRPr="00AB3BD9">
        <w:rPr>
          <w:b/>
        </w:rPr>
        <w:t xml:space="preserve"> also available to subscribers</w:t>
      </w:r>
      <w:r w:rsidR="00715AFB" w:rsidRPr="00AB3BD9">
        <w:rPr>
          <w:b/>
        </w:rPr>
        <w:t>.</w:t>
      </w:r>
    </w:p>
    <w:p w14:paraId="2EC1D204" w14:textId="77777777" w:rsidR="00AA163B" w:rsidRPr="00973C55" w:rsidRDefault="00AA163B" w:rsidP="004D3AA4">
      <w:pPr>
        <w:rPr>
          <w:b/>
        </w:rPr>
      </w:pPr>
    </w:p>
    <w:p w14:paraId="5CA2A1CB" w14:textId="77777777" w:rsidR="004D3AA4" w:rsidRPr="00026755" w:rsidRDefault="004D3AA4" w:rsidP="004D3AA4">
      <w:pPr>
        <w:rPr>
          <w:b/>
        </w:rPr>
      </w:pPr>
      <w:r w:rsidRPr="00026755">
        <w:rPr>
          <w:b/>
          <w:u w:val="single"/>
        </w:rPr>
        <w:t>Foreign Exchange</w:t>
      </w:r>
    </w:p>
    <w:p w14:paraId="448D085A" w14:textId="298A2749" w:rsidR="001A7D09" w:rsidRPr="00026755" w:rsidRDefault="006C2B8C" w:rsidP="00ED11CE">
      <w:r w:rsidRPr="00026755">
        <w:lastRenderedPageBreak/>
        <w:t xml:space="preserve">The major currency development during the month was the continued weakness in the US Dollar on a trade weighted basis, moves against some of the emerging market being particularly large. Sterling </w:t>
      </w:r>
      <w:r w:rsidR="00AB3BD9" w:rsidRPr="00026755">
        <w:t>moved</w:t>
      </w:r>
      <w:r w:rsidRPr="00026755">
        <w:t xml:space="preserve"> higher against major trading partners on the feeling that the Brexit negotiations were edging towards a “skinny” deal</w:t>
      </w:r>
      <w:r w:rsidR="006E7E05" w:rsidRPr="00026755">
        <w:t>(yet to be confirmed at the time of writing)</w:t>
      </w:r>
      <w:r w:rsidRPr="00026755">
        <w:t>.The Chinese renminbi conti</w:t>
      </w:r>
      <w:r w:rsidR="00F61692" w:rsidRPr="00026755">
        <w:t>n</w:t>
      </w:r>
      <w:r w:rsidRPr="00026755">
        <w:t>ued to str</w:t>
      </w:r>
      <w:r w:rsidR="00F61692" w:rsidRPr="00026755">
        <w:t>e</w:t>
      </w:r>
      <w:r w:rsidR="006E7E05" w:rsidRPr="00026755">
        <w:t>ngthen and</w:t>
      </w:r>
      <w:r w:rsidR="00D82F19" w:rsidRPr="00026755">
        <w:t xml:space="preserve"> is on course to record the largest six month move against the dollar on record.</w:t>
      </w:r>
      <w:r w:rsidR="00973C55" w:rsidRPr="00026755">
        <w:t xml:space="preserve"> </w:t>
      </w:r>
      <w:r w:rsidR="00A246F5" w:rsidRPr="00026755">
        <w:t>Interestingly, in</w:t>
      </w:r>
      <w:r w:rsidR="00F61692" w:rsidRPr="00026755">
        <w:t xml:space="preserve"> sterling adjusted terms</w:t>
      </w:r>
      <w:r w:rsidR="00F61692" w:rsidRPr="00026755">
        <w:rPr>
          <w:b/>
          <w:bCs/>
        </w:rPr>
        <w:t xml:space="preserve"> Japan has now overtaken the S&amp;P</w:t>
      </w:r>
      <w:r w:rsidR="00F61692" w:rsidRPr="00026755">
        <w:t xml:space="preserve"> as one of the leading equity markets year to date</w:t>
      </w:r>
      <w:r w:rsidR="00AB3BD9" w:rsidRPr="00026755">
        <w:t xml:space="preserve"> with a gain of 16%.</w:t>
      </w:r>
    </w:p>
    <w:p w14:paraId="0F6CE659" w14:textId="48483D5E" w:rsidR="00136359" w:rsidRPr="00026755" w:rsidRDefault="00136359" w:rsidP="00ED11CE"/>
    <w:p w14:paraId="17A78BA7" w14:textId="61A15B8C" w:rsidR="00ED11CE" w:rsidRPr="00026755" w:rsidRDefault="00ED11CE" w:rsidP="00ED11CE">
      <w:r w:rsidRPr="00026755">
        <w:rPr>
          <w:b/>
          <w:bCs/>
          <w:u w:val="single"/>
        </w:rPr>
        <w:t>Commodities</w:t>
      </w:r>
    </w:p>
    <w:bookmarkEnd w:id="0"/>
    <w:p w14:paraId="234B6F1F" w14:textId="740B0D32" w:rsidR="00133E70" w:rsidRDefault="007F3BFC" w:rsidP="00ED11CE">
      <w:r w:rsidRPr="00026755">
        <w:t xml:space="preserve">Apart from </w:t>
      </w:r>
      <w:r w:rsidR="00847B93" w:rsidRPr="00026755">
        <w:t xml:space="preserve">gold, most major commodities rose, in price terms, during the month. </w:t>
      </w:r>
      <w:r w:rsidR="0048623D" w:rsidRPr="00026755">
        <w:t>Oil, copper</w:t>
      </w:r>
      <w:r w:rsidR="00AB3BD9" w:rsidRPr="00026755">
        <w:t>,</w:t>
      </w:r>
      <w:r w:rsidR="00461920" w:rsidRPr="00026755">
        <w:t xml:space="preserve"> </w:t>
      </w:r>
      <w:r w:rsidR="00F415FE" w:rsidRPr="00026755">
        <w:t>platinum, iron ore</w:t>
      </w:r>
      <w:r w:rsidR="00847B93" w:rsidRPr="00026755">
        <w:t xml:space="preserve"> </w:t>
      </w:r>
      <w:r w:rsidR="0036642E" w:rsidRPr="00026755">
        <w:t xml:space="preserve"> </w:t>
      </w:r>
      <w:r w:rsidR="00E8649B" w:rsidRPr="00026755">
        <w:t xml:space="preserve">  </w:t>
      </w:r>
      <w:r w:rsidR="00847B93" w:rsidRPr="00026755">
        <w:t xml:space="preserve">and coal showed double-figure gains. Gold traders reported weak ETF flows, to add to the generally softer Indian, Chinese and retail jewellery conditions reported earlier in the </w:t>
      </w:r>
      <w:r w:rsidR="00461920" w:rsidRPr="00026755">
        <w:t xml:space="preserve">year. Maybe the other side of the trade just mentioned, but </w:t>
      </w:r>
      <w:proofErr w:type="spellStart"/>
      <w:proofErr w:type="gramStart"/>
      <w:r w:rsidR="00461920" w:rsidRPr="00026755">
        <w:rPr>
          <w:b/>
          <w:bCs/>
        </w:rPr>
        <w:t>Bitcoin</w:t>
      </w:r>
      <w:r w:rsidR="00026755" w:rsidRPr="00026755">
        <w:rPr>
          <w:b/>
          <w:bCs/>
        </w:rPr>
        <w:t>,</w:t>
      </w:r>
      <w:r w:rsidR="00026755" w:rsidRPr="00026755">
        <w:t>reached</w:t>
      </w:r>
      <w:proofErr w:type="spellEnd"/>
      <w:proofErr w:type="gramEnd"/>
      <w:r w:rsidR="00026755" w:rsidRPr="00026755">
        <w:t xml:space="preserve"> a new recent high.</w:t>
      </w:r>
      <w:r w:rsidR="00461920">
        <w:t xml:space="preserve"> </w:t>
      </w:r>
    </w:p>
    <w:p w14:paraId="66F469B4" w14:textId="77777777" w:rsidR="00847B93" w:rsidRPr="00533486" w:rsidRDefault="00847B93" w:rsidP="00ED11CE">
      <w:pPr>
        <w:rPr>
          <w:color w:val="000000" w:themeColor="text1"/>
        </w:rPr>
      </w:pPr>
    </w:p>
    <w:p w14:paraId="1ABBFBE3" w14:textId="65DFD721" w:rsidR="00ED11CE" w:rsidRPr="006B16B5" w:rsidRDefault="003E3A7C" w:rsidP="00ED11CE">
      <w:pPr>
        <w:rPr>
          <w:b/>
          <w:bCs/>
          <w:color w:val="000000" w:themeColor="text1"/>
          <w:u w:val="single"/>
        </w:rPr>
      </w:pPr>
      <w:r w:rsidRPr="00533486">
        <w:rPr>
          <w:b/>
          <w:bCs/>
          <w:color w:val="000000" w:themeColor="text1"/>
          <w:u w:val="single"/>
        </w:rPr>
        <w:t>L</w:t>
      </w:r>
      <w:r w:rsidR="00ED11CE" w:rsidRPr="00533486">
        <w:rPr>
          <w:b/>
          <w:bCs/>
          <w:color w:val="000000" w:themeColor="text1"/>
          <w:u w:val="single"/>
        </w:rPr>
        <w:t>ooking Forward</w:t>
      </w:r>
      <w:r w:rsidR="00ED11CE" w:rsidRPr="006B16B5">
        <w:rPr>
          <w:b/>
          <w:bCs/>
          <w:color w:val="000000" w:themeColor="text1"/>
          <w:u w:val="single"/>
        </w:rPr>
        <w:t xml:space="preserve"> </w:t>
      </w:r>
      <w:r w:rsidR="00A92AE6" w:rsidRPr="006B16B5">
        <w:rPr>
          <w:b/>
          <w:bCs/>
          <w:color w:val="000000" w:themeColor="text1"/>
          <w:u w:val="single"/>
        </w:rPr>
        <w:t xml:space="preserve"> </w:t>
      </w:r>
    </w:p>
    <w:p w14:paraId="636A7DDC" w14:textId="03CF02F3" w:rsidR="00B22691" w:rsidRPr="00026755" w:rsidRDefault="000A1ECD" w:rsidP="007F4AB8">
      <w:r w:rsidRPr="00026755">
        <w:t>Since my last report two major events, have reduced somewhat investor uncertainty going forward, and, while further detail/clarification is required on both the US Election and Covid-19 vaccines</w:t>
      </w:r>
      <w:r w:rsidR="004014CB" w:rsidRPr="00026755">
        <w:t xml:space="preserve"> </w:t>
      </w:r>
      <w:r w:rsidRPr="00026755">
        <w:t>,and other possible headwinds linger e.g Brexit, there is growing optimism for the path of economies. This changing mood has and will continue to affect sentiment across all asset classes in varying ways.</w:t>
      </w:r>
    </w:p>
    <w:p w14:paraId="0BCCD432" w14:textId="4BF53FC1" w:rsidR="00B22691" w:rsidRPr="00026755" w:rsidRDefault="00B22691" w:rsidP="007F4AB8"/>
    <w:p w14:paraId="39A2ED5B" w14:textId="68A7C55E" w:rsidR="0002790E" w:rsidRPr="00026755" w:rsidRDefault="00D02854" w:rsidP="007F4AB8">
      <w:r w:rsidRPr="00026755">
        <w:t xml:space="preserve"> </w:t>
      </w:r>
    </w:p>
    <w:p w14:paraId="541A2141" w14:textId="097AAD55" w:rsidR="007D43E5" w:rsidRPr="00026755" w:rsidRDefault="007D43E5" w:rsidP="007F4AB8"/>
    <w:p w14:paraId="78475D7A" w14:textId="53B894E9" w:rsidR="007F4AB8" w:rsidRPr="00026755" w:rsidRDefault="00FD63DD" w:rsidP="007F4AB8">
      <w:r w:rsidRPr="00026755">
        <w:t>Following the format of last month, I make the following observations.</w:t>
      </w:r>
      <w:r w:rsidR="007D43E5" w:rsidRPr="00026755">
        <w:t xml:space="preserve"> </w:t>
      </w:r>
    </w:p>
    <w:p w14:paraId="4C354DAE" w14:textId="77777777" w:rsidR="00116841" w:rsidRPr="00026755" w:rsidRDefault="00116841" w:rsidP="007F4AB8"/>
    <w:p w14:paraId="4B6D12EF" w14:textId="327C3304" w:rsidR="007D43E5" w:rsidRPr="00026755" w:rsidRDefault="007D43E5" w:rsidP="007F4AB8"/>
    <w:p w14:paraId="35AF6408" w14:textId="51D98398" w:rsidR="00A234B2" w:rsidRPr="00026755" w:rsidRDefault="002210FF" w:rsidP="007F4AB8">
      <w:pPr>
        <w:rPr>
          <w:b/>
          <w:bCs/>
          <w:u w:val="single"/>
        </w:rPr>
      </w:pPr>
      <w:r w:rsidRPr="00026755">
        <w:rPr>
          <w:b/>
          <w:bCs/>
          <w:u w:val="single"/>
        </w:rPr>
        <w:t>Observations/Thoughts</w:t>
      </w:r>
    </w:p>
    <w:p w14:paraId="209A3117" w14:textId="565A1526" w:rsidR="002210FF" w:rsidRPr="00026755" w:rsidRDefault="002210FF" w:rsidP="007F4AB8"/>
    <w:p w14:paraId="1D41477D" w14:textId="0FCF7B52" w:rsidR="0038305A" w:rsidRPr="00026755" w:rsidRDefault="005E31F4" w:rsidP="009E5B25">
      <w:pPr>
        <w:pStyle w:val="ListParagraph"/>
        <w:numPr>
          <w:ilvl w:val="0"/>
          <w:numId w:val="2"/>
        </w:numPr>
        <w:rPr>
          <w:u w:val="single"/>
        </w:rPr>
      </w:pPr>
      <w:r w:rsidRPr="00026755">
        <w:rPr>
          <w:b/>
          <w:bCs/>
        </w:rPr>
        <w:t>SECTORS</w:t>
      </w:r>
      <w:r w:rsidR="00BD5BC5" w:rsidRPr="00026755">
        <w:t>-</w:t>
      </w:r>
      <w:r w:rsidR="0038305A" w:rsidRPr="00026755">
        <w:t>The dramatic change in equity confidence, from early November, largely as a result of the Biden election victory and vaccine announcements prompted large sector/style changes with</w:t>
      </w:r>
      <w:r w:rsidR="00D95F35" w:rsidRPr="00026755">
        <w:t xml:space="preserve"> </w:t>
      </w:r>
      <w:r w:rsidR="0038305A" w:rsidRPr="00026755">
        <w:t xml:space="preserve">new focus on </w:t>
      </w:r>
      <w:r w:rsidR="00D95F35" w:rsidRPr="00026755">
        <w:t xml:space="preserve">value, cyclicals expected to benefit from sharper economic growth. Conversely, a mixture of more defensive shares and technology names suffered </w:t>
      </w:r>
      <w:r w:rsidR="000D44B4" w:rsidRPr="00026755">
        <w:t xml:space="preserve">relative </w:t>
      </w:r>
      <w:r w:rsidR="00026755" w:rsidRPr="00026755">
        <w:t>weakness, and</w:t>
      </w:r>
      <w:r w:rsidR="000D44B4" w:rsidRPr="00026755">
        <w:t xml:space="preserve"> in many cases, actual </w:t>
      </w:r>
      <w:r w:rsidR="00D95F35" w:rsidRPr="00026755">
        <w:t>price falls.</w:t>
      </w:r>
    </w:p>
    <w:p w14:paraId="4CC03BDB" w14:textId="24A7F80F" w:rsidR="00B02682" w:rsidRPr="00026755" w:rsidRDefault="00D95F35" w:rsidP="009E5B25">
      <w:pPr>
        <w:pStyle w:val="ListParagraph"/>
        <w:numPr>
          <w:ilvl w:val="0"/>
          <w:numId w:val="2"/>
        </w:numPr>
        <w:rPr>
          <w:u w:val="single"/>
        </w:rPr>
      </w:pPr>
      <w:r w:rsidRPr="00026755">
        <w:t>As well as giving the FTSE 100 overall a relative boost, compared with the S&amp;P due to sector breakdown, there was considerable sector rotation, often featuring sharp recoveries in previously neglected corners of the market.</w:t>
      </w:r>
      <w:r w:rsidR="00D55E57" w:rsidRPr="00026755">
        <w:t xml:space="preserve"> </w:t>
      </w:r>
      <w:r w:rsidR="0045145B" w:rsidRPr="00026755">
        <w:t xml:space="preserve">Expectations of higher demand and more controlled supply propelled the oil price higher and this fed through to </w:t>
      </w:r>
      <w:r w:rsidR="0045145B" w:rsidRPr="00026755">
        <w:rPr>
          <w:b/>
          <w:bCs/>
        </w:rPr>
        <w:t xml:space="preserve">oil </w:t>
      </w:r>
      <w:proofErr w:type="spellStart"/>
      <w:proofErr w:type="gramStart"/>
      <w:r w:rsidR="0045145B" w:rsidRPr="00026755">
        <w:rPr>
          <w:b/>
          <w:bCs/>
        </w:rPr>
        <w:t>equities</w:t>
      </w:r>
      <w:r w:rsidR="0045145B" w:rsidRPr="00026755">
        <w:t>,where</w:t>
      </w:r>
      <w:proofErr w:type="spellEnd"/>
      <w:proofErr w:type="gramEnd"/>
      <w:r w:rsidR="0045145B" w:rsidRPr="00026755">
        <w:t xml:space="preserve"> more favourable balance sheet</w:t>
      </w:r>
      <w:r w:rsidR="006E2815" w:rsidRPr="00026755">
        <w:t xml:space="preserve"> development and </w:t>
      </w:r>
      <w:proofErr w:type="spellStart"/>
      <w:r w:rsidR="0045145B" w:rsidRPr="00026755">
        <w:t>and</w:t>
      </w:r>
      <w:proofErr w:type="spellEnd"/>
      <w:r w:rsidR="0045145B" w:rsidRPr="00026755">
        <w:t xml:space="preserve"> dividend statements </w:t>
      </w:r>
      <w:r w:rsidR="006E2815" w:rsidRPr="00026755">
        <w:t xml:space="preserve">are helping </w:t>
      </w:r>
      <w:r w:rsidR="0045145B" w:rsidRPr="00026755">
        <w:t>this previously unloved sector bounce sharply. Note</w:t>
      </w:r>
      <w:r w:rsidR="00CA766F" w:rsidRPr="00026755">
        <w:t xml:space="preserve"> that some</w:t>
      </w:r>
      <w:r w:rsidR="007A1609" w:rsidRPr="00026755">
        <w:t xml:space="preserve"> </w:t>
      </w:r>
      <w:r w:rsidR="007A1609" w:rsidRPr="00026755">
        <w:rPr>
          <w:b/>
          <w:bCs/>
        </w:rPr>
        <w:t>energy related</w:t>
      </w:r>
      <w:r w:rsidR="00CA766F" w:rsidRPr="00026755">
        <w:rPr>
          <w:b/>
          <w:bCs/>
        </w:rPr>
        <w:t xml:space="preserve"> </w:t>
      </w:r>
      <w:r w:rsidR="00CA766F" w:rsidRPr="00026755">
        <w:t xml:space="preserve">corporate bonds have lagged the oil price recovery </w:t>
      </w:r>
      <w:r w:rsidR="002C671D" w:rsidRPr="00026755">
        <w:t>and</w:t>
      </w:r>
      <w:r w:rsidR="0045145B" w:rsidRPr="00026755">
        <w:t xml:space="preserve"> look</w:t>
      </w:r>
      <w:r w:rsidR="00CA766F" w:rsidRPr="00026755">
        <w:t xml:space="preserve"> </w:t>
      </w:r>
      <w:r w:rsidR="002C671D" w:rsidRPr="00026755">
        <w:t>interesting.</w:t>
      </w:r>
      <w:r w:rsidR="006D45D0" w:rsidRPr="00026755">
        <w:t xml:space="preserve"> </w:t>
      </w:r>
      <w:r w:rsidR="006D45D0" w:rsidRPr="00026755">
        <w:rPr>
          <w:b/>
          <w:bCs/>
        </w:rPr>
        <w:t>Mining</w:t>
      </w:r>
      <w:r w:rsidR="00A15B49" w:rsidRPr="00026755">
        <w:rPr>
          <w:b/>
          <w:bCs/>
        </w:rPr>
        <w:t xml:space="preserve"> stocks</w:t>
      </w:r>
      <w:r w:rsidR="00A15B49" w:rsidRPr="00026755">
        <w:t xml:space="preserve"> </w:t>
      </w:r>
      <w:r w:rsidR="00AF45C5" w:rsidRPr="00026755">
        <w:t>remain of interest</w:t>
      </w:r>
      <w:r w:rsidR="00A15B49" w:rsidRPr="00026755">
        <w:t xml:space="preserve"> with a growing number of underlying commodities responding to global growth impulses</w:t>
      </w:r>
      <w:r w:rsidR="004D197A" w:rsidRPr="00026755">
        <w:t xml:space="preserve"> e.g copper</w:t>
      </w:r>
      <w:r w:rsidR="007B2251" w:rsidRPr="00026755">
        <w:t xml:space="preserve"> while precious metals</w:t>
      </w:r>
      <w:r w:rsidR="00C55302" w:rsidRPr="00026755">
        <w:t xml:space="preserve"> (</w:t>
      </w:r>
      <w:proofErr w:type="spellStart"/>
      <w:r w:rsidR="00C55302" w:rsidRPr="00026755">
        <w:t>excl</w:t>
      </w:r>
      <w:proofErr w:type="spellEnd"/>
      <w:r w:rsidR="00C55302" w:rsidRPr="00026755">
        <w:t xml:space="preserve"> gold)</w:t>
      </w:r>
      <w:r w:rsidR="007B2251" w:rsidRPr="00026755">
        <w:t xml:space="preserve"> are </w:t>
      </w:r>
      <w:r w:rsidR="00D55E57" w:rsidRPr="00026755">
        <w:t xml:space="preserve">still </w:t>
      </w:r>
      <w:r w:rsidR="00655D59" w:rsidRPr="00026755">
        <w:t>seeing interest</w:t>
      </w:r>
      <w:r w:rsidR="00A15B49" w:rsidRPr="00026755">
        <w:t xml:space="preserve">. </w:t>
      </w:r>
      <w:r w:rsidR="002C671D" w:rsidRPr="00026755">
        <w:t>C</w:t>
      </w:r>
      <w:r w:rsidR="006D45D0" w:rsidRPr="00026755">
        <w:t>ertain</w:t>
      </w:r>
      <w:r w:rsidR="00A15B49" w:rsidRPr="00026755">
        <w:t xml:space="preserve"> </w:t>
      </w:r>
      <w:r w:rsidR="005D6C64" w:rsidRPr="00026755">
        <w:rPr>
          <w:b/>
          <w:bCs/>
        </w:rPr>
        <w:t>U</w:t>
      </w:r>
      <w:r w:rsidR="00A15B49" w:rsidRPr="00026755">
        <w:rPr>
          <w:b/>
          <w:bCs/>
        </w:rPr>
        <w:t>tilities</w:t>
      </w:r>
      <w:r w:rsidR="00A15B49" w:rsidRPr="00026755">
        <w:t xml:space="preserve"> are worth revisiting for </w:t>
      </w:r>
      <w:r w:rsidR="006D45D0" w:rsidRPr="00026755">
        <w:t>maintained, or</w:t>
      </w:r>
      <w:r w:rsidR="00A15B49" w:rsidRPr="00026755">
        <w:t xml:space="preserve"> even </w:t>
      </w:r>
      <w:r w:rsidR="006D45D0" w:rsidRPr="00026755">
        <w:t>increased, dividend</w:t>
      </w:r>
      <w:r w:rsidR="00A15B49" w:rsidRPr="00026755">
        <w:t xml:space="preserve"> </w:t>
      </w:r>
      <w:r w:rsidR="006D45D0" w:rsidRPr="00026755">
        <w:t>payments, stable</w:t>
      </w:r>
      <w:r w:rsidR="00A15B49" w:rsidRPr="00026755">
        <w:t xml:space="preserve"> business and growing </w:t>
      </w:r>
      <w:r w:rsidR="00F71AFF" w:rsidRPr="00026755">
        <w:t>ESG credentials</w:t>
      </w:r>
      <w:r w:rsidR="007A1609" w:rsidRPr="00026755">
        <w:t>, although</w:t>
      </w:r>
      <w:r w:rsidR="0049008B" w:rsidRPr="00026755">
        <w:t xml:space="preserve"> regulation/government interference should</w:t>
      </w:r>
      <w:r w:rsidR="002C671D" w:rsidRPr="00026755">
        <w:t xml:space="preserve"> always</w:t>
      </w:r>
      <w:r w:rsidR="0049008B" w:rsidRPr="00026755">
        <w:t xml:space="preserve"> be </w:t>
      </w:r>
      <w:r w:rsidR="004107FB" w:rsidRPr="00026755">
        <w:t>considered. The</w:t>
      </w:r>
      <w:r w:rsidR="005D6C64" w:rsidRPr="00026755">
        <w:rPr>
          <w:b/>
          <w:bCs/>
        </w:rPr>
        <w:t xml:space="preserve"> Telecom </w:t>
      </w:r>
      <w:r w:rsidR="005D6C64" w:rsidRPr="00026755">
        <w:t xml:space="preserve">sector is starting to be the subject of more global corporate </w:t>
      </w:r>
      <w:r w:rsidR="004107FB" w:rsidRPr="00026755">
        <w:t>activity, and</w:t>
      </w:r>
      <w:r w:rsidR="005D6C64" w:rsidRPr="00026755">
        <w:t xml:space="preserve"> both major UK names represent value plays </w:t>
      </w:r>
      <w:r w:rsidR="004D197A" w:rsidRPr="00026755">
        <w:t>now</w:t>
      </w:r>
      <w:r w:rsidR="004107FB" w:rsidRPr="00026755">
        <w:t>.</w:t>
      </w:r>
      <w:r w:rsidR="006D45D0" w:rsidRPr="00026755">
        <w:t xml:space="preserve"> </w:t>
      </w:r>
      <w:r w:rsidR="006D45D0" w:rsidRPr="00026755">
        <w:rPr>
          <w:b/>
          <w:bCs/>
        </w:rPr>
        <w:t>Technology</w:t>
      </w:r>
      <w:r w:rsidR="00EF0B1B" w:rsidRPr="00026755">
        <w:t xml:space="preserve"> holdings should be maintained but be aware of some </w:t>
      </w:r>
      <w:r w:rsidR="006D45D0" w:rsidRPr="00026755">
        <w:t>stretched</w:t>
      </w:r>
      <w:r w:rsidR="00EF0B1B" w:rsidRPr="00026755">
        <w:t xml:space="preserve"> </w:t>
      </w:r>
      <w:r w:rsidR="002C671D" w:rsidRPr="00026755">
        <w:t>valuations (</w:t>
      </w:r>
      <w:r w:rsidR="008E1D75" w:rsidRPr="00026755">
        <w:t>priced to perfection?)</w:t>
      </w:r>
      <w:r w:rsidR="0020420A" w:rsidRPr="00026755">
        <w:t>,</w:t>
      </w:r>
      <w:r w:rsidR="007A1609" w:rsidRPr="00026755">
        <w:t xml:space="preserve"> tax</w:t>
      </w:r>
      <w:r w:rsidR="00A613B1" w:rsidRPr="00026755">
        <w:t xml:space="preserve"> issues</w:t>
      </w:r>
      <w:r w:rsidR="009C5962" w:rsidRPr="00026755">
        <w:t>,</w:t>
      </w:r>
      <w:r w:rsidR="00EF0B1B" w:rsidRPr="00026755">
        <w:t xml:space="preserve"> as well as non-financial </w:t>
      </w:r>
      <w:r w:rsidR="004D197A" w:rsidRPr="00026755">
        <w:t>developments</w:t>
      </w:r>
      <w:r w:rsidR="002C671D" w:rsidRPr="00026755">
        <w:t>.</w:t>
      </w:r>
      <w:r w:rsidR="00FE4419" w:rsidRPr="00026755">
        <w:t xml:space="preserve"> Much</w:t>
      </w:r>
      <w:r w:rsidR="00C23C9A" w:rsidRPr="00026755">
        <w:t xml:space="preserve"> of the </w:t>
      </w:r>
      <w:r w:rsidR="005D6C64" w:rsidRPr="00026755">
        <w:rPr>
          <w:b/>
          <w:bCs/>
        </w:rPr>
        <w:t>B</w:t>
      </w:r>
      <w:r w:rsidR="00CA766F" w:rsidRPr="00026755">
        <w:rPr>
          <w:b/>
          <w:bCs/>
        </w:rPr>
        <w:t xml:space="preserve">anking </w:t>
      </w:r>
      <w:r w:rsidR="00C23C9A" w:rsidRPr="00026755">
        <w:rPr>
          <w:b/>
          <w:bCs/>
        </w:rPr>
        <w:t>sector specific</w:t>
      </w:r>
      <w:r w:rsidR="00C23C9A" w:rsidRPr="00026755">
        <w:t xml:space="preserve"> i.e. </w:t>
      </w:r>
      <w:r w:rsidR="00FE4419" w:rsidRPr="00026755">
        <w:t>ultra-low</w:t>
      </w:r>
      <w:r w:rsidR="00C23C9A" w:rsidRPr="00026755">
        <w:t xml:space="preserve"> interest </w:t>
      </w:r>
      <w:r w:rsidR="00FE4419" w:rsidRPr="00026755">
        <w:t>rates, dividend</w:t>
      </w:r>
      <w:r w:rsidR="00C23C9A" w:rsidRPr="00026755">
        <w:t xml:space="preserve"> </w:t>
      </w:r>
      <w:r w:rsidR="00FE4419" w:rsidRPr="00026755">
        <w:t>deferrals, debt</w:t>
      </w:r>
      <w:r w:rsidR="00C23C9A" w:rsidRPr="00026755">
        <w:t xml:space="preserve"> </w:t>
      </w:r>
      <w:r w:rsidR="00FE4419" w:rsidRPr="00026755">
        <w:t>provisioning and</w:t>
      </w:r>
      <w:r w:rsidR="00C23C9A" w:rsidRPr="00026755">
        <w:t xml:space="preserve"> </w:t>
      </w:r>
      <w:r w:rsidR="00217E94" w:rsidRPr="00026755">
        <w:t xml:space="preserve">  </w:t>
      </w:r>
      <w:r w:rsidR="00C23C9A" w:rsidRPr="00026755">
        <w:t>stock specific</w:t>
      </w:r>
      <w:r w:rsidR="009C5962" w:rsidRPr="00026755">
        <w:t>(</w:t>
      </w:r>
      <w:r w:rsidR="00C23C9A" w:rsidRPr="00026755">
        <w:t xml:space="preserve"> e.g HSBC news</w:t>
      </w:r>
      <w:r w:rsidR="009C5962" w:rsidRPr="00026755">
        <w:t>)</w:t>
      </w:r>
      <w:r w:rsidR="00C23C9A" w:rsidRPr="00026755">
        <w:t xml:space="preserve"> now seems price</w:t>
      </w:r>
      <w:r w:rsidR="00CA766F" w:rsidRPr="00026755">
        <w:t>d</w:t>
      </w:r>
      <w:r w:rsidR="00C23C9A" w:rsidRPr="00026755">
        <w:t xml:space="preserve"> </w:t>
      </w:r>
      <w:r w:rsidR="00722334" w:rsidRPr="00026755">
        <w:t>in, with</w:t>
      </w:r>
      <w:r w:rsidR="00C23C9A" w:rsidRPr="00026755">
        <w:t xml:space="preserve"> many </w:t>
      </w:r>
      <w:r w:rsidR="00B02682" w:rsidRPr="00026755">
        <w:t xml:space="preserve">bank </w:t>
      </w:r>
      <w:r w:rsidR="00C23C9A" w:rsidRPr="00026755">
        <w:t xml:space="preserve">names trading well below book </w:t>
      </w:r>
      <w:r w:rsidR="00774638" w:rsidRPr="00026755">
        <w:t>value, although</w:t>
      </w:r>
      <w:r w:rsidR="007B2251" w:rsidRPr="00026755">
        <w:t xml:space="preserve"> domestic banks e.g Lloyds</w:t>
      </w:r>
      <w:r w:rsidR="00F83F54" w:rsidRPr="00026755">
        <w:t>,</w:t>
      </w:r>
      <w:r w:rsidR="007B2251" w:rsidRPr="00026755">
        <w:t xml:space="preserve"> will remain strongly associated with</w:t>
      </w:r>
      <w:r w:rsidR="009C42C0" w:rsidRPr="00026755">
        <w:t xml:space="preserve"> UK</w:t>
      </w:r>
      <w:r w:rsidR="007B2251" w:rsidRPr="00026755">
        <w:t xml:space="preserve"> COVID developments</w:t>
      </w:r>
      <w:r w:rsidR="00C23C9A" w:rsidRPr="00026755">
        <w:t xml:space="preserve">. </w:t>
      </w:r>
      <w:r w:rsidR="002A5157" w:rsidRPr="00026755">
        <w:t>In</w:t>
      </w:r>
      <w:r w:rsidR="00F02CC9" w:rsidRPr="00026755">
        <w:t xml:space="preserve"> many cases bank preference shares offer higher yields and better capital security </w:t>
      </w:r>
      <w:r w:rsidR="008F6405" w:rsidRPr="00026755">
        <w:t>now, although</w:t>
      </w:r>
      <w:r w:rsidR="00C17023" w:rsidRPr="00026755">
        <w:t xml:space="preserve"> </w:t>
      </w:r>
      <w:r w:rsidR="00C17023" w:rsidRPr="00026755">
        <w:lastRenderedPageBreak/>
        <w:t xml:space="preserve">very recently </w:t>
      </w:r>
      <w:proofErr w:type="spellStart"/>
      <w:r w:rsidR="00C17023" w:rsidRPr="00026755">
        <w:t>HSBC,Santander</w:t>
      </w:r>
      <w:proofErr w:type="spellEnd"/>
      <w:r w:rsidR="00C17023" w:rsidRPr="00026755">
        <w:t xml:space="preserve"> and Standard Chartered have also hinted at restoring ordinary share dividends-a controversial </w:t>
      </w:r>
      <w:proofErr w:type="spellStart"/>
      <w:r w:rsidR="00C17023" w:rsidRPr="00026755">
        <w:t>topic!</w:t>
      </w:r>
      <w:r w:rsidR="006E2815" w:rsidRPr="00026755">
        <w:t>The</w:t>
      </w:r>
      <w:proofErr w:type="spellEnd"/>
      <w:r w:rsidR="006E2815" w:rsidRPr="00026755">
        <w:t xml:space="preserve"> </w:t>
      </w:r>
      <w:r w:rsidR="006E2815" w:rsidRPr="00026755">
        <w:rPr>
          <w:b/>
          <w:bCs/>
        </w:rPr>
        <w:t>Insurance</w:t>
      </w:r>
      <w:r w:rsidR="006E2815" w:rsidRPr="00026755">
        <w:t xml:space="preserve"> sector currently offers a number of higher yielding value plays</w:t>
      </w:r>
      <w:r w:rsidR="00774638" w:rsidRPr="00026755">
        <w:t xml:space="preserve"> Clearly a very selective approach is needed in the area</w:t>
      </w:r>
      <w:r w:rsidR="009C5962" w:rsidRPr="00026755">
        <w:t>s</w:t>
      </w:r>
      <w:r w:rsidR="00774638" w:rsidRPr="00026755">
        <w:t xml:space="preserve"> of</w:t>
      </w:r>
      <w:r w:rsidR="009C5962" w:rsidRPr="00026755">
        <w:t xml:space="preserve"> </w:t>
      </w:r>
      <w:r w:rsidR="005D6C64" w:rsidRPr="00026755">
        <w:rPr>
          <w:b/>
          <w:bCs/>
        </w:rPr>
        <w:t>R</w:t>
      </w:r>
      <w:r w:rsidR="00774638" w:rsidRPr="00026755">
        <w:rPr>
          <w:b/>
          <w:bCs/>
        </w:rPr>
        <w:t xml:space="preserve">etail, </w:t>
      </w:r>
      <w:r w:rsidR="005D6C64" w:rsidRPr="00026755">
        <w:rPr>
          <w:b/>
          <w:bCs/>
        </w:rPr>
        <w:t>H</w:t>
      </w:r>
      <w:r w:rsidR="00774638" w:rsidRPr="00026755">
        <w:rPr>
          <w:b/>
          <w:bCs/>
        </w:rPr>
        <w:t xml:space="preserve">ospitality and </w:t>
      </w:r>
      <w:r w:rsidR="00FA086C" w:rsidRPr="00026755">
        <w:rPr>
          <w:b/>
          <w:bCs/>
        </w:rPr>
        <w:t>Travel.</w:t>
      </w:r>
      <w:r w:rsidR="00FA086C" w:rsidRPr="00026755">
        <w:t xml:space="preserve"> The</w:t>
      </w:r>
      <w:r w:rsidR="00EC24E8" w:rsidRPr="00026755">
        <w:t xml:space="preserve"> likes of IAG,Whitbread and WH Smith have all completed large rights </w:t>
      </w:r>
      <w:r w:rsidR="00FA086C" w:rsidRPr="00026755">
        <w:t>issues, which</w:t>
      </w:r>
      <w:r w:rsidR="004D197A" w:rsidRPr="00026755">
        <w:t xml:space="preserve"> could certainly buy time over an uncertain period</w:t>
      </w:r>
      <w:r w:rsidR="00EC24E8" w:rsidRPr="00026755">
        <w:t>.</w:t>
      </w:r>
      <w:r w:rsidR="004D197A" w:rsidRPr="00026755">
        <w:t>Finally,having being negative on the general sector for a con</w:t>
      </w:r>
      <w:r w:rsidR="00FA086C" w:rsidRPr="00026755">
        <w:t xml:space="preserve">siderable length of time, I am turning more neutral on the quoted </w:t>
      </w:r>
      <w:r w:rsidR="006E2815" w:rsidRPr="00026755">
        <w:rPr>
          <w:b/>
          <w:bCs/>
        </w:rPr>
        <w:t>P</w:t>
      </w:r>
      <w:r w:rsidR="00FA086C" w:rsidRPr="00026755">
        <w:rPr>
          <w:b/>
          <w:bCs/>
        </w:rPr>
        <w:t>roperty</w:t>
      </w:r>
      <w:r w:rsidR="00FA086C" w:rsidRPr="00026755">
        <w:t xml:space="preserve"> sector, both direct equities and investment </w:t>
      </w:r>
      <w:r w:rsidR="008F6405" w:rsidRPr="00026755">
        <w:t>trusts. Recent</w:t>
      </w:r>
      <w:r w:rsidR="00C17023" w:rsidRPr="00026755">
        <w:t xml:space="preserve"> resul</w:t>
      </w:r>
      <w:r w:rsidR="008F6405" w:rsidRPr="00026755">
        <w:t>t</w:t>
      </w:r>
      <w:r w:rsidR="00C17023" w:rsidRPr="00026755">
        <w:t>s have brought out the</w:t>
      </w:r>
      <w:r w:rsidR="00F51B08" w:rsidRPr="00026755">
        <w:t xml:space="preserve"> absolute lack of homogeneity within the sector.</w:t>
      </w:r>
    </w:p>
    <w:p w14:paraId="553AB037" w14:textId="77777777" w:rsidR="00171752" w:rsidRPr="00026755" w:rsidRDefault="00171752" w:rsidP="00171752">
      <w:pPr>
        <w:ind w:left="360"/>
        <w:rPr>
          <w:u w:val="single"/>
        </w:rPr>
      </w:pPr>
    </w:p>
    <w:p w14:paraId="2A786B98" w14:textId="0F710F98" w:rsidR="0012043D" w:rsidRPr="00026755" w:rsidRDefault="00665BA7" w:rsidP="009E5B25">
      <w:pPr>
        <w:pStyle w:val="ListParagraph"/>
        <w:numPr>
          <w:ilvl w:val="0"/>
          <w:numId w:val="2"/>
        </w:numPr>
        <w:rPr>
          <w:b/>
          <w:bCs/>
          <w:u w:val="single"/>
        </w:rPr>
      </w:pPr>
      <w:r w:rsidRPr="00026755">
        <w:t xml:space="preserve">Looking at </w:t>
      </w:r>
      <w:r w:rsidR="00403FB5" w:rsidRPr="00026755">
        <w:t>my three”</w:t>
      </w:r>
      <w:r w:rsidRPr="00026755">
        <w:t xml:space="preserve"> home-made</w:t>
      </w:r>
      <w:r w:rsidR="00403FB5" w:rsidRPr="00026755">
        <w:t>”</w:t>
      </w:r>
      <w:r w:rsidRPr="00026755">
        <w:t xml:space="preserve"> stock </w:t>
      </w:r>
      <w:r w:rsidR="00262E4D" w:rsidRPr="00026755">
        <w:t>baskets</w:t>
      </w:r>
      <w:r w:rsidR="009C5962" w:rsidRPr="00026755">
        <w:t>,</w:t>
      </w:r>
      <w:r w:rsidR="00262E4D" w:rsidRPr="00026755">
        <w:t xml:space="preserve"> </w:t>
      </w:r>
      <w:r w:rsidR="00F71AFF" w:rsidRPr="00026755">
        <w:t>balanced</w:t>
      </w:r>
      <w:r w:rsidR="00262E4D" w:rsidRPr="00026755">
        <w:t>, high</w:t>
      </w:r>
      <w:r w:rsidRPr="00026755">
        <w:t xml:space="preserve"> risk </w:t>
      </w:r>
      <w:r w:rsidR="00EF44B4" w:rsidRPr="00026755">
        <w:t>COVID-19</w:t>
      </w:r>
      <w:r w:rsidRPr="00026755">
        <w:t xml:space="preserve"> and</w:t>
      </w:r>
      <w:r w:rsidR="00EF44B4" w:rsidRPr="00026755">
        <w:t xml:space="preserve"> low risk</w:t>
      </w:r>
      <w:r w:rsidRPr="00026755">
        <w:t xml:space="preserve"> </w:t>
      </w:r>
      <w:r w:rsidR="00EF44B4" w:rsidRPr="00026755">
        <w:t>COVID-19 plays</w:t>
      </w:r>
      <w:r w:rsidR="00262E4D" w:rsidRPr="00026755">
        <w:t>, there</w:t>
      </w:r>
      <w:r w:rsidR="00403FB5" w:rsidRPr="00026755">
        <w:t xml:space="preserve"> </w:t>
      </w:r>
      <w:r w:rsidR="009C6CFB" w:rsidRPr="00026755">
        <w:t>have</w:t>
      </w:r>
      <w:r w:rsidR="00403FB5" w:rsidRPr="00026755">
        <w:t xml:space="preserve"> </w:t>
      </w:r>
      <w:r w:rsidR="00EF44B4" w:rsidRPr="00026755">
        <w:t>been significant</w:t>
      </w:r>
      <w:r w:rsidR="00403FB5" w:rsidRPr="00026755">
        <w:t xml:space="preserve"> difference</w:t>
      </w:r>
      <w:r w:rsidR="00EF44B4" w:rsidRPr="00026755">
        <w:t>s</w:t>
      </w:r>
      <w:r w:rsidR="00403FB5" w:rsidRPr="00026755">
        <w:t xml:space="preserve"> in share price </w:t>
      </w:r>
      <w:r w:rsidR="00CB3151" w:rsidRPr="00026755">
        <w:t xml:space="preserve">performance, over the approximately </w:t>
      </w:r>
      <w:r w:rsidR="00EF44B4" w:rsidRPr="00026755">
        <w:t>eight</w:t>
      </w:r>
      <w:r w:rsidR="00CB3151" w:rsidRPr="00026755">
        <w:t xml:space="preserve"> months since the sharp market </w:t>
      </w:r>
      <w:r w:rsidR="00EF44B4" w:rsidRPr="00026755">
        <w:t>crash. I have also included an analysis of moves from 6</w:t>
      </w:r>
      <w:r w:rsidR="00EF44B4" w:rsidRPr="00026755">
        <w:rPr>
          <w:vertAlign w:val="superscript"/>
        </w:rPr>
        <w:t>th</w:t>
      </w:r>
      <w:r w:rsidR="00EF44B4" w:rsidRPr="00026755">
        <w:t xml:space="preserve"> November, taking in the Biden election victory and the announcements of significant Covid-19 vaccine tests. </w:t>
      </w:r>
      <w:r w:rsidR="0012043D" w:rsidRPr="00026755">
        <w:t xml:space="preserve">AS the benchmark the FTSE,S&amp;P and NASDAQ  have risen </w:t>
      </w:r>
      <w:r w:rsidR="000D1EB0" w:rsidRPr="00026755">
        <w:t>approximately 6%,3%and 2%</w:t>
      </w:r>
      <w:r w:rsidR="0012043D" w:rsidRPr="00026755">
        <w:t>respectively between close 6</w:t>
      </w:r>
      <w:r w:rsidR="0012043D" w:rsidRPr="00026755">
        <w:rPr>
          <w:vertAlign w:val="superscript"/>
        </w:rPr>
        <w:t>th</w:t>
      </w:r>
      <w:r w:rsidR="0012043D" w:rsidRPr="00026755">
        <w:t xml:space="preserve"> November and close November 30</w:t>
      </w:r>
      <w:r w:rsidR="0012043D" w:rsidRPr="00026755">
        <w:rPr>
          <w:vertAlign w:val="superscript"/>
        </w:rPr>
        <w:t>th</w:t>
      </w:r>
      <w:r w:rsidR="0012043D" w:rsidRPr="00026755">
        <w:t xml:space="preserve">.Over the same period, many of the “higher risk” usual suspects,IAG,Carnival,Easyjet,Cineworld and Gym Group have </w:t>
      </w:r>
      <w:r w:rsidR="0012043D" w:rsidRPr="0048623D">
        <w:rPr>
          <w:b/>
          <w:bCs/>
        </w:rPr>
        <w:t>risen by over 50%</w:t>
      </w:r>
      <w:r w:rsidR="0012043D" w:rsidRPr="00026755">
        <w:t>,though still well down on 2019 high prices.However,mainstream stocks in the area of oil and gas,banks,insurance and property have also shown well above average gains on the expectation of rising economic growth late 2021  (and higher rates/lower defaults</w:t>
      </w:r>
      <w:r w:rsidR="0031406A" w:rsidRPr="00026755">
        <w:t xml:space="preserve">/dividends in the case of the banks).Conversely drug companies (yes, drug companies),homeworking </w:t>
      </w:r>
      <w:proofErr w:type="spellStart"/>
      <w:r w:rsidR="0031406A" w:rsidRPr="00026755">
        <w:t>plays,Peleton,Zoom</w:t>
      </w:r>
      <w:proofErr w:type="spellEnd"/>
      <w:r w:rsidR="0031406A" w:rsidRPr="00026755">
        <w:t xml:space="preserve"> etc have not only underperformed but actually declined in price terms!</w:t>
      </w:r>
    </w:p>
    <w:p w14:paraId="68C469E0" w14:textId="77777777" w:rsidR="0012043D" w:rsidRPr="00026755" w:rsidRDefault="0012043D" w:rsidP="0012043D">
      <w:pPr>
        <w:pStyle w:val="ListParagraph"/>
      </w:pPr>
    </w:p>
    <w:p w14:paraId="2506157C" w14:textId="77777777" w:rsidR="0012043D" w:rsidRPr="00026755" w:rsidRDefault="0012043D" w:rsidP="0012043D">
      <w:pPr>
        <w:pStyle w:val="ListParagraph"/>
      </w:pPr>
    </w:p>
    <w:p w14:paraId="6BB5B412" w14:textId="5910A3D3" w:rsidR="00171752" w:rsidRPr="00026755" w:rsidRDefault="00F827B1" w:rsidP="009E5B25">
      <w:pPr>
        <w:pStyle w:val="ListParagraph"/>
        <w:numPr>
          <w:ilvl w:val="0"/>
          <w:numId w:val="2"/>
        </w:numPr>
        <w:rPr>
          <w:b/>
          <w:bCs/>
          <w:u w:val="single"/>
        </w:rPr>
      </w:pPr>
      <w:r w:rsidRPr="00026755">
        <w:rPr>
          <w:b/>
          <w:bCs/>
        </w:rPr>
        <w:t>The last month has shown the importance of maintaining a balanced</w:t>
      </w:r>
      <w:r w:rsidR="00E26680" w:rsidRPr="00026755">
        <w:rPr>
          <w:b/>
          <w:bCs/>
        </w:rPr>
        <w:t xml:space="preserve"> portfolio.</w:t>
      </w:r>
      <w:r w:rsidR="00E26680" w:rsidRPr="00026755">
        <w:t xml:space="preserve"> Many companies in the value/cyclical area seem likely to recover further, while great selectivity will be required chasing the Covid-19 risk stocks. Some</w:t>
      </w:r>
      <w:r w:rsidR="009C6CFB" w:rsidRPr="00026755">
        <w:t xml:space="preserve"> of these names could recover quite </w:t>
      </w:r>
      <w:r w:rsidR="00E26680" w:rsidRPr="00026755">
        <w:t>strongly</w:t>
      </w:r>
      <w:r w:rsidR="009C6CFB" w:rsidRPr="00026755">
        <w:t xml:space="preserve"> but risks of </w:t>
      </w:r>
      <w:r w:rsidR="00975C88" w:rsidRPr="00026755">
        <w:t xml:space="preserve">bankruptcy, </w:t>
      </w:r>
      <w:r w:rsidR="007479FD" w:rsidRPr="00026755">
        <w:t>dilution, government</w:t>
      </w:r>
      <w:r w:rsidR="009C6CFB" w:rsidRPr="00026755">
        <w:t xml:space="preserve"> interference/control should be </w:t>
      </w:r>
      <w:r w:rsidR="007479FD" w:rsidRPr="00026755">
        <w:t>considered.</w:t>
      </w:r>
      <w:r w:rsidR="00E26680" w:rsidRPr="00026755">
        <w:t>Conversely,previous” winners”</w:t>
      </w:r>
      <w:r w:rsidR="007479FD" w:rsidRPr="00026755">
        <w:t xml:space="preserve"> </w:t>
      </w:r>
      <w:r w:rsidR="00E26680" w:rsidRPr="00026755">
        <w:t>have to be assessed both on their relative valuation, as well as relative earnings growth in a post pandemic world.</w:t>
      </w:r>
    </w:p>
    <w:p w14:paraId="0806AC8B" w14:textId="77777777" w:rsidR="00262E4D" w:rsidRPr="00026755" w:rsidRDefault="00262E4D" w:rsidP="00262E4D">
      <w:pPr>
        <w:pStyle w:val="ListParagraph"/>
        <w:rPr>
          <w:b/>
          <w:bCs/>
          <w:color w:val="FF0000"/>
          <w:u w:val="single"/>
        </w:rPr>
      </w:pPr>
    </w:p>
    <w:p w14:paraId="18994A5C" w14:textId="05B49247" w:rsidR="005F2EA7" w:rsidRPr="00026755" w:rsidRDefault="005F2EA7" w:rsidP="00EC24E8">
      <w:pPr>
        <w:pStyle w:val="ListParagraph"/>
        <w:numPr>
          <w:ilvl w:val="0"/>
          <w:numId w:val="2"/>
        </w:numPr>
        <w:rPr>
          <w:b/>
          <w:bCs/>
          <w:u w:val="single"/>
        </w:rPr>
      </w:pPr>
      <w:r w:rsidRPr="00026755">
        <w:rPr>
          <w:b/>
          <w:bCs/>
        </w:rPr>
        <w:t>Emerging Markets-</w:t>
      </w:r>
      <w:r w:rsidRPr="00026755">
        <w:t xml:space="preserve">Very difficult to adopt a “blanket” approach to the </w:t>
      </w:r>
      <w:r w:rsidR="006E2815" w:rsidRPr="00026755">
        <w:t>region (</w:t>
      </w:r>
      <w:r w:rsidR="00CC0ED8" w:rsidRPr="00026755">
        <w:t>see graph below)</w:t>
      </w:r>
      <w:r w:rsidRPr="00026755">
        <w:t xml:space="preserve"> with so many different </w:t>
      </w:r>
      <w:r w:rsidR="005F75EB" w:rsidRPr="00026755">
        <w:t xml:space="preserve">COVID, </w:t>
      </w:r>
      <w:r w:rsidR="0049008B" w:rsidRPr="00026755">
        <w:t xml:space="preserve">commodity, </w:t>
      </w:r>
      <w:proofErr w:type="spellStart"/>
      <w:proofErr w:type="gramStart"/>
      <w:r w:rsidR="0049008B" w:rsidRPr="00026755">
        <w:t>debt</w:t>
      </w:r>
      <w:r w:rsidRPr="00026755">
        <w:t>,geo</w:t>
      </w:r>
      <w:proofErr w:type="spellEnd"/>
      <w:proofErr w:type="gramEnd"/>
      <w:r w:rsidRPr="00026755">
        <w:t xml:space="preserve">-political </w:t>
      </w:r>
      <w:r w:rsidR="00F71AFF" w:rsidRPr="00026755">
        <w:t>variables. Much</w:t>
      </w:r>
      <w:r w:rsidR="009C42C0" w:rsidRPr="00026755">
        <w:t xml:space="preserve"> of Latin America is experiencing an acceleration in COVID </w:t>
      </w:r>
      <w:r w:rsidR="00774638" w:rsidRPr="00026755">
        <w:t>cases, as</w:t>
      </w:r>
      <w:r w:rsidR="00AA7B6D" w:rsidRPr="00026755">
        <w:t xml:space="preserve"> is </w:t>
      </w:r>
      <w:r w:rsidR="00774638" w:rsidRPr="00026755">
        <w:t>India, while</w:t>
      </w:r>
      <w:r w:rsidR="00AA7B6D" w:rsidRPr="00026755">
        <w:t xml:space="preserve"> closer to home Turkey</w:t>
      </w:r>
      <w:r w:rsidR="00EF44B4" w:rsidRPr="00026755">
        <w:t xml:space="preserve"> has been facing a volatile</w:t>
      </w:r>
      <w:r w:rsidR="0020420A" w:rsidRPr="00026755">
        <w:t xml:space="preserve"> geo-</w:t>
      </w:r>
      <w:r w:rsidR="00EF44B4" w:rsidRPr="00026755">
        <w:t xml:space="preserve">political, interest rate  and </w:t>
      </w:r>
      <w:r w:rsidR="00AA7B6D" w:rsidRPr="00026755">
        <w:t xml:space="preserve"> currency situation</w:t>
      </w:r>
      <w:r w:rsidR="009C42C0" w:rsidRPr="00026755">
        <w:t xml:space="preserve"> </w:t>
      </w:r>
      <w:r w:rsidRPr="00026755">
        <w:t xml:space="preserve"> However</w:t>
      </w:r>
      <w:r w:rsidR="00EF44B4" w:rsidRPr="00026755">
        <w:t>,</w:t>
      </w:r>
      <w:r w:rsidRPr="00026755">
        <w:t xml:space="preserve"> I </w:t>
      </w:r>
      <w:r w:rsidR="00EF44B4" w:rsidRPr="00026755">
        <w:t xml:space="preserve"> continue to </w:t>
      </w:r>
      <w:r w:rsidRPr="00026755">
        <w:t>have a relatively favourable view on Vietnam</w:t>
      </w:r>
      <w:r w:rsidR="00CC0ED8" w:rsidRPr="00026755">
        <w:t xml:space="preserve"> (VOF +15% YTD)</w:t>
      </w:r>
      <w:r w:rsidR="000F3E11" w:rsidRPr="00026755">
        <w:t>,</w:t>
      </w:r>
      <w:r w:rsidRPr="00026755">
        <w:t xml:space="preserve"> where the macro factors (COVID success, economic GROWTH!), stable </w:t>
      </w:r>
      <w:proofErr w:type="spellStart"/>
      <w:r w:rsidRPr="00026755">
        <w:t>FX,inward</w:t>
      </w:r>
      <w:proofErr w:type="spellEnd"/>
      <w:r w:rsidRPr="00026755">
        <w:t xml:space="preserve"> investment are positive </w:t>
      </w:r>
      <w:r w:rsidR="00FA086C" w:rsidRPr="00026755">
        <w:t xml:space="preserve">features. Other Asian markets are also worth a </w:t>
      </w:r>
      <w:r w:rsidR="00D83348" w:rsidRPr="00026755">
        <w:t>look</w:t>
      </w:r>
      <w:r w:rsidR="00EF44B4" w:rsidRPr="00026755">
        <w:t xml:space="preserve"> e.g South Korea</w:t>
      </w:r>
      <w:r w:rsidR="00D83348" w:rsidRPr="00026755">
        <w:t xml:space="preserve">. </w:t>
      </w:r>
      <w:r w:rsidR="00F51B08" w:rsidRPr="00026755">
        <w:t>Russia, both</w:t>
      </w:r>
      <w:r w:rsidR="0049008B" w:rsidRPr="00026755">
        <w:t xml:space="preserve"> </w:t>
      </w:r>
      <w:r w:rsidR="0049008B" w:rsidRPr="00026755">
        <w:rPr>
          <w:b/>
          <w:bCs/>
        </w:rPr>
        <w:t>bonds and equities</w:t>
      </w:r>
      <w:r w:rsidR="0049008B" w:rsidRPr="00026755">
        <w:t xml:space="preserve">, may appeal to value, </w:t>
      </w:r>
      <w:r w:rsidR="00F51B08" w:rsidRPr="00026755">
        <w:t>income-oriented</w:t>
      </w:r>
      <w:r w:rsidR="0049008B" w:rsidRPr="00026755">
        <w:t xml:space="preserve"> investors and </w:t>
      </w:r>
      <w:r w:rsidR="008F6405" w:rsidRPr="00026755">
        <w:t>enjoys</w:t>
      </w:r>
      <w:r w:rsidR="0049008B" w:rsidRPr="00026755">
        <w:t xml:space="preserve"> a relatively favourable current/fiscal balance </w:t>
      </w:r>
      <w:r w:rsidR="00FA086C" w:rsidRPr="00026755">
        <w:t xml:space="preserve">situation, although political developments can unsettle e.g mining sector </w:t>
      </w:r>
      <w:r w:rsidR="00FC6FC4" w:rsidRPr="00026755">
        <w:t xml:space="preserve">tax. </w:t>
      </w:r>
      <w:r w:rsidR="00370F1F" w:rsidRPr="00026755">
        <w:t xml:space="preserve">The active versus passive debate in </w:t>
      </w:r>
      <w:r w:rsidR="00F12B4C" w:rsidRPr="00026755">
        <w:t>2021, will</w:t>
      </w:r>
      <w:r w:rsidR="00370F1F" w:rsidRPr="00026755">
        <w:t xml:space="preserve"> take extra significance as country </w:t>
      </w:r>
      <w:r w:rsidR="00026755" w:rsidRPr="00026755">
        <w:t>selection</w:t>
      </w:r>
      <w:r w:rsidR="000D44B4" w:rsidRPr="00026755">
        <w:t xml:space="preserve"> consideration,</w:t>
      </w:r>
      <w:r w:rsidR="00F12B4C" w:rsidRPr="00026755">
        <w:t xml:space="preserve"> China</w:t>
      </w:r>
      <w:r w:rsidR="00370F1F" w:rsidRPr="00026755">
        <w:t xml:space="preserve"> versus rest,</w:t>
      </w:r>
      <w:r w:rsidR="007A5690" w:rsidRPr="00026755">
        <w:t xml:space="preserve"> </w:t>
      </w:r>
      <w:r w:rsidR="00370F1F" w:rsidRPr="00026755">
        <w:t>and appropriate tech weighting will be important considerations.</w:t>
      </w:r>
    </w:p>
    <w:p w14:paraId="624BDC68" w14:textId="7A4BD3AC" w:rsidR="00CC0ED8" w:rsidRPr="00CC0ED8" w:rsidRDefault="00CC0ED8" w:rsidP="00CC0ED8">
      <w:pPr>
        <w:pStyle w:val="ListParagraph"/>
        <w:rPr>
          <w:b/>
          <w:bCs/>
          <w:u w:val="single"/>
        </w:rPr>
      </w:pPr>
      <w:r>
        <w:rPr>
          <w:noProof/>
        </w:rPr>
        <w:lastRenderedPageBreak/>
        <w:drawing>
          <wp:inline distT="0" distB="0" distL="0" distR="0" wp14:anchorId="0BA7C052" wp14:editId="76C2B176">
            <wp:extent cx="5731510" cy="2762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762250"/>
                    </a:xfrm>
                    <a:prstGeom prst="rect">
                      <a:avLst/>
                    </a:prstGeom>
                    <a:noFill/>
                    <a:ln>
                      <a:noFill/>
                    </a:ln>
                  </pic:spPr>
                </pic:pic>
              </a:graphicData>
            </a:graphic>
          </wp:inline>
        </w:drawing>
      </w:r>
    </w:p>
    <w:p w14:paraId="230C3A3B" w14:textId="4C992C88" w:rsidR="00026755" w:rsidRDefault="00026755" w:rsidP="00026755">
      <w:pPr>
        <w:jc w:val="center"/>
        <w:rPr>
          <w:b/>
          <w:bCs/>
          <w:u w:val="single"/>
        </w:rPr>
      </w:pPr>
      <w:r>
        <w:rPr>
          <w:b/>
          <w:bCs/>
          <w:u w:val="single"/>
        </w:rPr>
        <w:t>EMERGING MARKETS-Return Breakdown</w:t>
      </w:r>
    </w:p>
    <w:p w14:paraId="7862CBDD" w14:textId="77777777" w:rsidR="00026755" w:rsidRDefault="00026755" w:rsidP="00CC0ED8">
      <w:pPr>
        <w:rPr>
          <w:b/>
          <w:bCs/>
          <w:u w:val="single"/>
        </w:rPr>
      </w:pPr>
    </w:p>
    <w:p w14:paraId="2A6791A9" w14:textId="2722AD65" w:rsidR="00CC0ED8" w:rsidRPr="00026755" w:rsidRDefault="00F67493" w:rsidP="00CC0ED8">
      <w:proofErr w:type="spellStart"/>
      <w:r w:rsidRPr="00026755">
        <w:t>Source:JP</w:t>
      </w:r>
      <w:proofErr w:type="spellEnd"/>
      <w:r w:rsidRPr="00026755">
        <w:t xml:space="preserve"> Morgan</w:t>
      </w:r>
      <w:r w:rsidR="006E2166" w:rsidRPr="00026755">
        <w:t xml:space="preserve"> </w:t>
      </w:r>
    </w:p>
    <w:p w14:paraId="68964D5E" w14:textId="77777777" w:rsidR="00EC24E8" w:rsidRPr="005D6C64" w:rsidRDefault="00EC24E8" w:rsidP="00EC24E8">
      <w:pPr>
        <w:pStyle w:val="ListParagraph"/>
        <w:rPr>
          <w:b/>
          <w:bCs/>
          <w:u w:val="single"/>
        </w:rPr>
      </w:pPr>
    </w:p>
    <w:p w14:paraId="6FC9ED53" w14:textId="579DE20D" w:rsidR="00087420" w:rsidRPr="00026755" w:rsidRDefault="00F02CC9" w:rsidP="009E5B25">
      <w:pPr>
        <w:pStyle w:val="ListParagraph"/>
        <w:numPr>
          <w:ilvl w:val="0"/>
          <w:numId w:val="2"/>
        </w:numPr>
        <w:rPr>
          <w:b/>
          <w:bCs/>
          <w:u w:val="single"/>
        </w:rPr>
      </w:pPr>
      <w:r w:rsidRPr="00026755">
        <w:t xml:space="preserve">Not </w:t>
      </w:r>
      <w:r w:rsidR="00AA7B6D" w:rsidRPr="00026755">
        <w:t>on near</w:t>
      </w:r>
      <w:r w:rsidRPr="00026755">
        <w:t xml:space="preserve"> </w:t>
      </w:r>
      <w:r w:rsidR="00AB4DB0" w:rsidRPr="00026755">
        <w:t>term investor</w:t>
      </w:r>
      <w:r w:rsidR="00AA7B6D" w:rsidRPr="00026755">
        <w:t xml:space="preserve"> (or government!) worry </w:t>
      </w:r>
      <w:r w:rsidR="00AB4DB0" w:rsidRPr="00026755">
        <w:t>lists but</w:t>
      </w:r>
      <w:r w:rsidRPr="00026755">
        <w:t xml:space="preserve"> be aware of the </w:t>
      </w:r>
      <w:r w:rsidRPr="00026755">
        <w:rPr>
          <w:b/>
          <w:bCs/>
        </w:rPr>
        <w:t>huge</w:t>
      </w:r>
      <w:r w:rsidR="005E31F4" w:rsidRPr="00026755">
        <w:rPr>
          <w:b/>
          <w:bCs/>
        </w:rPr>
        <w:t xml:space="preserve"> government</w:t>
      </w:r>
      <w:r w:rsidRPr="00026755">
        <w:rPr>
          <w:b/>
          <w:bCs/>
        </w:rPr>
        <w:t xml:space="preserve"> DEBT problem </w:t>
      </w:r>
      <w:r w:rsidR="00722334" w:rsidRPr="00026755">
        <w:rPr>
          <w:b/>
          <w:bCs/>
        </w:rPr>
        <w:t>building</w:t>
      </w:r>
      <w:r w:rsidR="00722334" w:rsidRPr="00026755">
        <w:t>. Latest</w:t>
      </w:r>
      <w:r w:rsidR="00E405A1" w:rsidRPr="00026755">
        <w:t xml:space="preserve"> figures show aggregate</w:t>
      </w:r>
      <w:r w:rsidR="00F24DB0" w:rsidRPr="00026755">
        <w:t xml:space="preserve"> global</w:t>
      </w:r>
      <w:r w:rsidR="00E405A1" w:rsidRPr="00026755">
        <w:t xml:space="preserve"> debt in excess of GDP at the</w:t>
      </w:r>
      <w:r w:rsidR="00EF0B1B" w:rsidRPr="00026755">
        <w:t xml:space="preserve"> </w:t>
      </w:r>
      <w:r w:rsidR="00E405A1" w:rsidRPr="00026755">
        <w:t xml:space="preserve">global </w:t>
      </w:r>
      <w:r w:rsidR="000D44B4" w:rsidRPr="00026755">
        <w:t xml:space="preserve">level and the mantra of extremely low servicing </w:t>
      </w:r>
      <w:r w:rsidR="00F15E9A" w:rsidRPr="00026755">
        <w:t>costs,</w:t>
      </w:r>
      <w:r w:rsidR="00F15E9A" w:rsidRPr="00026755">
        <w:rPr>
          <w:b/>
          <w:bCs/>
        </w:rPr>
        <w:t xml:space="preserve"> </w:t>
      </w:r>
      <w:r w:rsidR="00F15E9A" w:rsidRPr="00026755">
        <w:t>is</w:t>
      </w:r>
      <w:r w:rsidR="000D44B4" w:rsidRPr="00026755">
        <w:t xml:space="preserve"> just that!</w:t>
      </w:r>
      <w:r w:rsidR="005E31F4" w:rsidRPr="00026755">
        <w:t xml:space="preserve"> Apart</w:t>
      </w:r>
      <w:r w:rsidRPr="00026755">
        <w:t xml:space="preserve"> from short term haven </w:t>
      </w:r>
      <w:r w:rsidR="005E31F4" w:rsidRPr="00026755">
        <w:t>buying, I</w:t>
      </w:r>
      <w:r w:rsidRPr="00026755">
        <w:t xml:space="preserve"> expect </w:t>
      </w:r>
      <w:r w:rsidR="005E31F4" w:rsidRPr="00026755">
        <w:t>conventional</w:t>
      </w:r>
      <w:r w:rsidRPr="00026755">
        <w:t xml:space="preserve"> </w:t>
      </w:r>
      <w:r w:rsidR="005E31F4" w:rsidRPr="00026755">
        <w:t xml:space="preserve">government </w:t>
      </w:r>
      <w:r w:rsidR="005E31F4" w:rsidRPr="00026755">
        <w:rPr>
          <w:b/>
          <w:bCs/>
        </w:rPr>
        <w:t xml:space="preserve">FIXED INTEREST </w:t>
      </w:r>
      <w:r w:rsidR="005E31F4" w:rsidRPr="00026755">
        <w:t xml:space="preserve">to suffer in the </w:t>
      </w:r>
      <w:r w:rsidR="00F12B4C" w:rsidRPr="00026755">
        <w:t>medium term</w:t>
      </w:r>
      <w:r w:rsidR="00D17CB6" w:rsidRPr="00026755">
        <w:t>,</w:t>
      </w:r>
      <w:r w:rsidR="002A5157" w:rsidRPr="00026755">
        <w:t xml:space="preserve"> but</w:t>
      </w:r>
      <w:r w:rsidR="005E31F4" w:rsidRPr="00026755">
        <w:t xml:space="preserve"> other fixed interest options are </w:t>
      </w:r>
      <w:r w:rsidR="00A1737A" w:rsidRPr="00026755">
        <w:t>available. Bond</w:t>
      </w:r>
      <w:r w:rsidR="001D69F7" w:rsidRPr="00026755">
        <w:t xml:space="preserve"> price weakness in November was apparent with each positive vaccine development</w:t>
      </w:r>
      <w:r w:rsidR="00DF0D1E" w:rsidRPr="00026755">
        <w:t xml:space="preserve"> </w:t>
      </w:r>
      <w:r w:rsidR="00722334" w:rsidRPr="00026755">
        <w:t xml:space="preserve"> </w:t>
      </w:r>
    </w:p>
    <w:p w14:paraId="6DDA4005" w14:textId="77777777" w:rsidR="00F24DB0" w:rsidRPr="00026755" w:rsidRDefault="00F24DB0" w:rsidP="00F24DB0">
      <w:pPr>
        <w:pStyle w:val="ListParagraph"/>
        <w:rPr>
          <w:b/>
          <w:bCs/>
          <w:u w:val="single"/>
        </w:rPr>
      </w:pPr>
    </w:p>
    <w:p w14:paraId="7B8670AE" w14:textId="36F9615A" w:rsidR="00EF0B1B" w:rsidRPr="00026755" w:rsidRDefault="005E31F4" w:rsidP="009E5B25">
      <w:pPr>
        <w:pStyle w:val="ListParagraph"/>
        <w:numPr>
          <w:ilvl w:val="0"/>
          <w:numId w:val="2"/>
        </w:numPr>
        <w:rPr>
          <w:b/>
          <w:bCs/>
          <w:u w:val="single"/>
        </w:rPr>
      </w:pPr>
      <w:r w:rsidRPr="00026755">
        <w:rPr>
          <w:b/>
          <w:bCs/>
        </w:rPr>
        <w:t>FX</w:t>
      </w:r>
      <w:r w:rsidRPr="00026755">
        <w:t>-</w:t>
      </w:r>
      <w:r w:rsidR="00C0652E" w:rsidRPr="00026755">
        <w:t xml:space="preserve"> </w:t>
      </w:r>
      <w:r w:rsidR="00301920" w:rsidRPr="00026755">
        <w:t xml:space="preserve">The pound </w:t>
      </w:r>
      <w:r w:rsidR="00F15E9A" w:rsidRPr="00026755">
        <w:t>may be</w:t>
      </w:r>
      <w:r w:rsidR="00301920" w:rsidRPr="00026755">
        <w:t xml:space="preserve"> vulnerable over coming months on a mixture of COVID </w:t>
      </w:r>
      <w:r w:rsidR="005D6C64" w:rsidRPr="00026755">
        <w:t>developments, relatively</w:t>
      </w:r>
      <w:r w:rsidR="00301920" w:rsidRPr="00026755">
        <w:t xml:space="preserve"> weak economic </w:t>
      </w:r>
      <w:r w:rsidR="005D6C64" w:rsidRPr="00026755">
        <w:t>data, Bank</w:t>
      </w:r>
      <w:r w:rsidR="00301920" w:rsidRPr="00026755">
        <w:t xml:space="preserve"> of England </w:t>
      </w:r>
      <w:r w:rsidR="005D6C64" w:rsidRPr="00026755">
        <w:t>uncertainty, political</w:t>
      </w:r>
      <w:r w:rsidR="00301920" w:rsidRPr="00026755">
        <w:t xml:space="preserve"> wrangling and ongoing Brexit </w:t>
      </w:r>
      <w:r w:rsidR="005D6C64" w:rsidRPr="00026755">
        <w:t xml:space="preserve">discussion. </w:t>
      </w:r>
      <w:r w:rsidR="00026755" w:rsidRPr="00026755">
        <w:t>The Euro</w:t>
      </w:r>
      <w:r w:rsidR="00301920" w:rsidRPr="00026755">
        <w:t xml:space="preserve"> may </w:t>
      </w:r>
      <w:r w:rsidR="0048623D" w:rsidRPr="00026755">
        <w:t>be a</w:t>
      </w:r>
      <w:r w:rsidR="000D44B4" w:rsidRPr="00026755">
        <w:t xml:space="preserve"> beneficiary</w:t>
      </w:r>
      <w:r w:rsidR="00301920" w:rsidRPr="00026755">
        <w:t xml:space="preserve"> or Yen </w:t>
      </w:r>
      <w:r w:rsidR="000F3E11" w:rsidRPr="00026755">
        <w:t xml:space="preserve">for </w:t>
      </w:r>
      <w:r w:rsidR="00C55302" w:rsidRPr="00026755">
        <w:t>haven</w:t>
      </w:r>
      <w:r w:rsidR="005D6C64" w:rsidRPr="00026755">
        <w:t>, lower</w:t>
      </w:r>
      <w:r w:rsidR="00301920" w:rsidRPr="00026755">
        <w:t xml:space="preserve"> </w:t>
      </w:r>
      <w:r w:rsidR="008F6405" w:rsidRPr="00026755">
        <w:t>correlation</w:t>
      </w:r>
      <w:r w:rsidR="000F3E11" w:rsidRPr="00026755">
        <w:t xml:space="preserve"> characteristics</w:t>
      </w:r>
      <w:r w:rsidR="000D44B4" w:rsidRPr="00026755">
        <w:t xml:space="preserve"> or selective emerging market currencies for a higher risk approach.</w:t>
      </w:r>
      <w:r w:rsidR="008F6405" w:rsidRPr="00026755">
        <w:t xml:space="preserve"> China and or Switzerland may resort to currency weakening action/</w:t>
      </w:r>
      <w:r w:rsidR="00C55302" w:rsidRPr="00026755">
        <w:t>rhetoric. Note</w:t>
      </w:r>
      <w:r w:rsidR="00122A02" w:rsidRPr="00026755">
        <w:t xml:space="preserve"> the currency effect on the emerging market histogram above (the light blue bit!</w:t>
      </w:r>
      <w:r w:rsidR="00C55302" w:rsidRPr="00026755">
        <w:t xml:space="preserve">). Russia, Turkey and Brazil </w:t>
      </w:r>
      <w:r w:rsidR="00C55302" w:rsidRPr="00026755">
        <w:rPr>
          <w:b/>
          <w:bCs/>
        </w:rPr>
        <w:t xml:space="preserve">could </w:t>
      </w:r>
      <w:r w:rsidR="000D44B4" w:rsidRPr="00026755">
        <w:rPr>
          <w:b/>
          <w:bCs/>
        </w:rPr>
        <w:t>surpass</w:t>
      </w:r>
      <w:r w:rsidR="00C55302" w:rsidRPr="00026755">
        <w:t xml:space="preserve"> some of the Asian markets next year in currency adjusted total return terms.</w:t>
      </w:r>
    </w:p>
    <w:p w14:paraId="6254F2B9" w14:textId="77777777" w:rsidR="00EF0B1B" w:rsidRPr="00026755" w:rsidRDefault="00EF0B1B" w:rsidP="00EF0B1B">
      <w:pPr>
        <w:pStyle w:val="ListParagraph"/>
        <w:rPr>
          <w:b/>
          <w:bCs/>
          <w:u w:val="single"/>
        </w:rPr>
      </w:pPr>
    </w:p>
    <w:p w14:paraId="5B85DBCE" w14:textId="1D30163E" w:rsidR="005E31F4" w:rsidRPr="00026755" w:rsidRDefault="005E31F4" w:rsidP="009E5B25">
      <w:pPr>
        <w:pStyle w:val="ListParagraph"/>
        <w:numPr>
          <w:ilvl w:val="0"/>
          <w:numId w:val="2"/>
        </w:numPr>
        <w:rPr>
          <w:b/>
          <w:bCs/>
          <w:u w:val="single"/>
        </w:rPr>
      </w:pPr>
      <w:r w:rsidRPr="00026755">
        <w:rPr>
          <w:b/>
          <w:bCs/>
        </w:rPr>
        <w:t>COMMODITIES</w:t>
      </w:r>
      <w:r w:rsidRPr="00026755">
        <w:t>-</w:t>
      </w:r>
      <w:r w:rsidR="00B45A2E" w:rsidRPr="00026755">
        <w:t xml:space="preserve"> Gold appears to have broken </w:t>
      </w:r>
      <w:r w:rsidR="00C1343D" w:rsidRPr="00026755">
        <w:t>down through</w:t>
      </w:r>
      <w:r w:rsidR="00B45A2E" w:rsidRPr="00026755">
        <w:t xml:space="preserve"> the sideways trend that </w:t>
      </w:r>
      <w:r w:rsidR="00C1343D" w:rsidRPr="00026755">
        <w:t>has</w:t>
      </w:r>
      <w:r w:rsidR="00B45A2E" w:rsidRPr="00026755">
        <w:t xml:space="preserve"> been in place since </w:t>
      </w:r>
      <w:r w:rsidR="00C1343D" w:rsidRPr="00026755">
        <w:t>August. Fundamental</w:t>
      </w:r>
      <w:r w:rsidR="00B45A2E" w:rsidRPr="00026755">
        <w:t xml:space="preserve"> reasons are not hard to find</w:t>
      </w:r>
      <w:r w:rsidR="00C1343D" w:rsidRPr="00026755">
        <w:t xml:space="preserve"> and flows suggest that ETF selling has now combined with lacklustre Indian and Chines and jewellery demand. Bank actions. While longer term inflationary reasons and diversification benefits may apply the prospects for more cyclical plays may be more interesting </w:t>
      </w:r>
      <w:r w:rsidR="00823734" w:rsidRPr="00026755">
        <w:t>now. This</w:t>
      </w:r>
      <w:r w:rsidR="00026755" w:rsidRPr="00026755">
        <w:t xml:space="preserve"> would explain some of the performance of some of the precious/industrial plays,silver,platinum,palladium.</w:t>
      </w:r>
      <w:r w:rsidR="00C1343D" w:rsidRPr="00026755">
        <w:t>Copper, which</w:t>
      </w:r>
      <w:r w:rsidR="00533EDF" w:rsidRPr="00026755">
        <w:t xml:space="preserve"> has now rallied about </w:t>
      </w:r>
      <w:r w:rsidR="00026755" w:rsidRPr="00026755">
        <w:t>over 60%</w:t>
      </w:r>
      <w:r w:rsidR="00533EDF" w:rsidRPr="00026755">
        <w:t xml:space="preserve"> since its March </w:t>
      </w:r>
      <w:r w:rsidR="00465833" w:rsidRPr="00026755">
        <w:t xml:space="preserve">low, has benefitted from Chinese demand, “green” stimulus issues and some </w:t>
      </w:r>
      <w:r w:rsidR="00C1343D" w:rsidRPr="00026755">
        <w:t>Covid-19</w:t>
      </w:r>
      <w:r w:rsidR="00465833" w:rsidRPr="00026755">
        <w:t xml:space="preserve"> related supply issues</w:t>
      </w:r>
      <w:r w:rsidR="00C1343D" w:rsidRPr="00026755">
        <w:t xml:space="preserve"> and iron ore/coal are benefitting from a steel(especially in Asia) revival.</w:t>
      </w:r>
      <w:r w:rsidR="00533EDF" w:rsidRPr="00026755">
        <w:t xml:space="preserve"> </w:t>
      </w:r>
      <w:r w:rsidR="002A5157" w:rsidRPr="00026755">
        <w:t xml:space="preserve"> In</w:t>
      </w:r>
      <w:r w:rsidR="006D2213" w:rsidRPr="00026755">
        <w:t xml:space="preserve"> a UK context it might be worth remembering that planting and </w:t>
      </w:r>
      <w:r w:rsidR="000F3E11" w:rsidRPr="00026755">
        <w:t>harvesting</w:t>
      </w:r>
      <w:r w:rsidR="006D2213" w:rsidRPr="00026755">
        <w:t xml:space="preserve"> </w:t>
      </w:r>
      <w:r w:rsidR="00CD0E62" w:rsidRPr="00026755">
        <w:t xml:space="preserve">will be </w:t>
      </w:r>
      <w:r w:rsidR="006D2213" w:rsidRPr="00026755">
        <w:t>disrupted</w:t>
      </w:r>
      <w:r w:rsidR="00280114" w:rsidRPr="00026755">
        <w:t xml:space="preserve"> by both weather and labour </w:t>
      </w:r>
      <w:r w:rsidR="00800071" w:rsidRPr="00026755">
        <w:t xml:space="preserve">shortages, </w:t>
      </w:r>
      <w:r w:rsidR="00AB4DB0" w:rsidRPr="00026755">
        <w:t>which could</w:t>
      </w:r>
      <w:r w:rsidR="00CD0E62" w:rsidRPr="00026755">
        <w:t xml:space="preserve"> potentially </w:t>
      </w:r>
      <w:r w:rsidR="006D2213" w:rsidRPr="00026755">
        <w:t xml:space="preserve">lead to pockets of </w:t>
      </w:r>
      <w:r w:rsidR="002A5157" w:rsidRPr="00026755">
        <w:t>food inflation</w:t>
      </w:r>
      <w:r w:rsidR="009D0C86" w:rsidRPr="00026755">
        <w:t>.</w:t>
      </w:r>
    </w:p>
    <w:p w14:paraId="451F8F81" w14:textId="77777777" w:rsidR="00BC76FF" w:rsidRPr="00026755" w:rsidRDefault="00BC76FF" w:rsidP="00BC76FF">
      <w:pPr>
        <w:pStyle w:val="ListParagraph"/>
        <w:rPr>
          <w:b/>
          <w:bCs/>
          <w:color w:val="FF0000"/>
          <w:u w:val="single"/>
        </w:rPr>
      </w:pPr>
    </w:p>
    <w:p w14:paraId="713F7DDC" w14:textId="4521F097" w:rsidR="00BC76FF" w:rsidRPr="00026755" w:rsidRDefault="00BC76FF" w:rsidP="00D778BF">
      <w:pPr>
        <w:pStyle w:val="ListParagraph"/>
        <w:numPr>
          <w:ilvl w:val="0"/>
          <w:numId w:val="2"/>
        </w:numPr>
      </w:pPr>
      <w:r w:rsidRPr="00026755">
        <w:rPr>
          <w:b/>
          <w:bCs/>
        </w:rPr>
        <w:t>ESG Considerations</w:t>
      </w:r>
      <w:r w:rsidRPr="00026755">
        <w:t xml:space="preserve">-I have been reviewing </w:t>
      </w:r>
      <w:r w:rsidR="001D69F7" w:rsidRPr="00026755">
        <w:t>several</w:t>
      </w:r>
      <w:r w:rsidRPr="00026755">
        <w:t xml:space="preserve"> </w:t>
      </w:r>
      <w:r w:rsidR="0020420A" w:rsidRPr="00026755">
        <w:t>ESG (</w:t>
      </w:r>
      <w:r w:rsidR="00A524AB" w:rsidRPr="00026755">
        <w:t>Environmental, Social</w:t>
      </w:r>
      <w:r w:rsidRPr="00026755">
        <w:t xml:space="preserve"> and Governance) issues recently, both from personal interest, client </w:t>
      </w:r>
      <w:r w:rsidR="000F3E11" w:rsidRPr="00026755">
        <w:t>curiosity and</w:t>
      </w:r>
      <w:r w:rsidRPr="00026755">
        <w:t xml:space="preserve"> cognizant of the huge amounts of resource (both human and financial) being diverted to the </w:t>
      </w:r>
      <w:r w:rsidR="00A524AB" w:rsidRPr="00026755">
        <w:t xml:space="preserve">sector. </w:t>
      </w:r>
      <w:r w:rsidR="00A524AB" w:rsidRPr="00026755">
        <w:lastRenderedPageBreak/>
        <w:t>While</w:t>
      </w:r>
      <w:r w:rsidRPr="00026755">
        <w:t xml:space="preserve"> applauding the longer term </w:t>
      </w:r>
      <w:r w:rsidR="0063218A" w:rsidRPr="00026755">
        <w:t xml:space="preserve">merits of such a </w:t>
      </w:r>
      <w:r w:rsidR="00A524AB" w:rsidRPr="00026755">
        <w:t>move, I</w:t>
      </w:r>
      <w:r w:rsidR="0063218A" w:rsidRPr="00026755">
        <w:t xml:space="preserve"> would advise extra layers of due diligence regarding “</w:t>
      </w:r>
      <w:r w:rsidR="00A524AB" w:rsidRPr="00026755">
        <w:t>greenwashing”, choice</w:t>
      </w:r>
      <w:r w:rsidR="0063218A" w:rsidRPr="00026755">
        <w:t xml:space="preserve"> of </w:t>
      </w:r>
      <w:r w:rsidR="00A524AB" w:rsidRPr="00026755">
        <w:t>benchmarks, and</w:t>
      </w:r>
      <w:r w:rsidR="0063218A" w:rsidRPr="00026755">
        <w:t xml:space="preserve"> shorter term considerations of values versus wallet  (increasing stretch between tech and oil being a good example)</w:t>
      </w:r>
      <w:r w:rsidR="00F51B08" w:rsidRPr="00026755">
        <w:t>-</w:t>
      </w:r>
      <w:r w:rsidR="0063218A" w:rsidRPr="00026755">
        <w:t xml:space="preserve">be careful what you wish </w:t>
      </w:r>
      <w:r w:rsidR="001D69F7" w:rsidRPr="00026755">
        <w:t xml:space="preserve">for! November proved to be a classic example of </w:t>
      </w:r>
      <w:r w:rsidR="00C55302" w:rsidRPr="00026755">
        <w:t>above!</w:t>
      </w:r>
    </w:p>
    <w:p w14:paraId="2BCC49F9" w14:textId="77777777" w:rsidR="00BC76FF" w:rsidRPr="00BC76FF" w:rsidRDefault="00BC76FF" w:rsidP="00BC76FF">
      <w:pPr>
        <w:pStyle w:val="ListParagraph"/>
        <w:rPr>
          <w:b/>
          <w:bCs/>
        </w:rPr>
      </w:pPr>
    </w:p>
    <w:p w14:paraId="3DA4D3F1" w14:textId="77777777" w:rsidR="00BC76FF" w:rsidRPr="00BC76FF" w:rsidRDefault="00BC76FF" w:rsidP="00BC76FF">
      <w:pPr>
        <w:pStyle w:val="ListParagraph"/>
        <w:rPr>
          <w:b/>
          <w:bCs/>
        </w:rPr>
      </w:pPr>
    </w:p>
    <w:p w14:paraId="6DCF8D37" w14:textId="346A2020" w:rsidR="0014604D" w:rsidRPr="00F1400E" w:rsidRDefault="00EA30C8" w:rsidP="00D778BF">
      <w:pPr>
        <w:pStyle w:val="ListParagraph"/>
        <w:numPr>
          <w:ilvl w:val="0"/>
          <w:numId w:val="2"/>
        </w:numPr>
      </w:pPr>
      <w:r w:rsidRPr="00F1400E">
        <w:rPr>
          <w:b/>
          <w:bCs/>
        </w:rPr>
        <w:t>COMMERCIAL PROPERTY</w:t>
      </w:r>
      <w:r w:rsidR="00B72B75" w:rsidRPr="00F1400E">
        <w:t>…</w:t>
      </w:r>
      <w:r w:rsidR="00010982" w:rsidRPr="00F1400E">
        <w:t>A quieter month for company figures and statements</w:t>
      </w:r>
      <w:r w:rsidR="00BF4D0C" w:rsidRPr="00F1400E">
        <w:t>.</w:t>
      </w:r>
      <w:r w:rsidR="00010982" w:rsidRPr="00F1400E">
        <w:t>However,the most recent MSCI/IPD UK Property Index for the ten months to end October showed an overall year to date return of -2.6% (-7.0% from capital  and +4.6% from income) compared with +2.1% total return for the whole of 2019.The only sector to show positive capital change was in the area of SE industrial, while retail properties were down by nearly 16%.</w:t>
      </w:r>
      <w:r w:rsidR="00BF4D0C" w:rsidRPr="00F1400E">
        <w:t xml:space="preserve"> </w:t>
      </w:r>
      <w:r w:rsidR="00CC0ED8" w:rsidRPr="00F1400E">
        <w:t>Continued due</w:t>
      </w:r>
      <w:r w:rsidR="007D7B01" w:rsidRPr="00F1400E">
        <w:t xml:space="preserve"> diligence is currently required in this sector both by asset type (direct equity, investment trust, or unit </w:t>
      </w:r>
      <w:r w:rsidR="000F3E11" w:rsidRPr="00F1400E">
        <w:t>trust</w:t>
      </w:r>
      <w:r w:rsidR="00CC0ED8" w:rsidRPr="00F1400E">
        <w:t>)</w:t>
      </w:r>
      <w:r w:rsidR="000F3E11" w:rsidRPr="00F1400E">
        <w:t>. On</w:t>
      </w:r>
      <w:r w:rsidR="00CC0ED8" w:rsidRPr="00F1400E">
        <w:t xml:space="preserve"> the more</w:t>
      </w:r>
      <w:r w:rsidR="0006268F" w:rsidRPr="00F1400E">
        <w:t xml:space="preserve"> </w:t>
      </w:r>
      <w:r w:rsidR="0006268F" w:rsidRPr="00F1400E">
        <w:rPr>
          <w:b/>
          <w:bCs/>
        </w:rPr>
        <w:t xml:space="preserve">positive side </w:t>
      </w:r>
      <w:r w:rsidR="0006268F" w:rsidRPr="00F1400E">
        <w:t>there is growing evidence of corporate activity as predators, especially private equity or long term overseas institutional players see value.</w:t>
      </w:r>
      <w:r w:rsidR="007D7B01" w:rsidRPr="00F1400E">
        <w:t xml:space="preserve"> </w:t>
      </w:r>
      <w:r w:rsidR="005C681E" w:rsidRPr="00F1400E">
        <w:t>Many</w:t>
      </w:r>
      <w:r w:rsidR="00EC24E8" w:rsidRPr="00F1400E">
        <w:t xml:space="preserve"> </w:t>
      </w:r>
      <w:r w:rsidR="00B54423" w:rsidRPr="00F1400E">
        <w:t>large property</w:t>
      </w:r>
      <w:r w:rsidR="005C681E" w:rsidRPr="00F1400E">
        <w:t xml:space="preserve"> funds </w:t>
      </w:r>
      <w:r w:rsidR="00EC24E8" w:rsidRPr="00F1400E">
        <w:t>are re-</w:t>
      </w:r>
      <w:r w:rsidR="0006268F" w:rsidRPr="00F1400E">
        <w:t>opening,</w:t>
      </w:r>
      <w:r w:rsidR="00CF1EC1" w:rsidRPr="00F1400E">
        <w:t xml:space="preserve"> and it will be interesting to </w:t>
      </w:r>
      <w:r w:rsidR="005D6C64" w:rsidRPr="00F1400E">
        <w:t>see updated</w:t>
      </w:r>
      <w:r w:rsidR="00CF1EC1" w:rsidRPr="00F1400E">
        <w:t xml:space="preserve"> cash </w:t>
      </w:r>
      <w:r w:rsidR="004014CB" w:rsidRPr="00F1400E">
        <w:t>levels, property</w:t>
      </w:r>
      <w:r w:rsidR="00CF1EC1" w:rsidRPr="00F1400E">
        <w:t xml:space="preserve"> valuations and data on investor </w:t>
      </w:r>
      <w:r w:rsidR="001D69F7" w:rsidRPr="00F1400E">
        <w:t>flows. My</w:t>
      </w:r>
      <w:r w:rsidR="0006268F" w:rsidRPr="00F1400E">
        <w:t xml:space="preserve"> current view is that investors may wish to slowly move back to a more neutral situation for he sector with </w:t>
      </w:r>
      <w:r w:rsidR="004014CB" w:rsidRPr="00F1400E">
        <w:t xml:space="preserve"> my preference  for </w:t>
      </w:r>
      <w:r w:rsidR="004014CB" w:rsidRPr="00F1400E">
        <w:rPr>
          <w:b/>
          <w:bCs/>
        </w:rPr>
        <w:t>investment trusts rather than unit trusts</w:t>
      </w:r>
      <w:r w:rsidR="004014CB" w:rsidRPr="00F1400E">
        <w:t>.</w:t>
      </w:r>
      <w:r w:rsidR="00CF1EC1" w:rsidRPr="00F1400E">
        <w:t xml:space="preserve"> </w:t>
      </w:r>
      <w:r w:rsidR="00F12B4C" w:rsidRPr="00F1400E">
        <w:t>Finally, the</w:t>
      </w:r>
      <w:r w:rsidR="00D37BC3" w:rsidRPr="00F1400E">
        <w:t xml:space="preserve"> government is FINALLY tightening up on local authorities buying investment properties  (horse </w:t>
      </w:r>
      <w:r w:rsidR="00F12B4C" w:rsidRPr="00F1400E">
        <w:t>bolted, Croydon</w:t>
      </w:r>
      <w:r w:rsidR="00D37BC3" w:rsidRPr="00F1400E">
        <w:t xml:space="preserve"> etc!)</w:t>
      </w:r>
      <w:r w:rsidR="00CF1EC1" w:rsidRPr="00F1400E">
        <w:t xml:space="preserve">  </w:t>
      </w:r>
    </w:p>
    <w:p w14:paraId="7A529089" w14:textId="77777777" w:rsidR="00AA7B6D" w:rsidRPr="00F1400E" w:rsidRDefault="00AA7B6D" w:rsidP="0048606C">
      <w:pPr>
        <w:rPr>
          <w:b/>
          <w:bCs/>
          <w:u w:val="single"/>
        </w:rPr>
      </w:pPr>
    </w:p>
    <w:p w14:paraId="78053850" w14:textId="7B4E4CA5" w:rsidR="007F4AB8" w:rsidRPr="00F1400E" w:rsidRDefault="007F4AB8" w:rsidP="007F4AB8"/>
    <w:p w14:paraId="62B3A919" w14:textId="0527BBEC" w:rsidR="009E5424" w:rsidRPr="00C33075" w:rsidRDefault="00E4517C" w:rsidP="00ED11CE">
      <w:pPr>
        <w:spacing w:before="100" w:after="100"/>
        <w:ind w:right="720"/>
        <w:rPr>
          <w:b/>
          <w:bCs/>
        </w:rPr>
      </w:pPr>
      <w:r w:rsidRPr="00F1400E">
        <w:rPr>
          <w:b/>
          <w:bCs/>
        </w:rPr>
        <w:t xml:space="preserve">Full </w:t>
      </w:r>
      <w:r w:rsidR="00FF6B9D" w:rsidRPr="00F1400E">
        <w:rPr>
          <w:b/>
          <w:bCs/>
        </w:rPr>
        <w:t>asse</w:t>
      </w:r>
      <w:r w:rsidR="00FF6B9D" w:rsidRPr="008F6405">
        <w:rPr>
          <w:b/>
          <w:bCs/>
        </w:rPr>
        <w:t>t allocation and stock selection ideas if needed for ISA</w:t>
      </w:r>
      <w:r w:rsidR="00715409" w:rsidRPr="008F6405">
        <w:rPr>
          <w:b/>
          <w:bCs/>
        </w:rPr>
        <w:t xml:space="preserve">/dealing </w:t>
      </w:r>
      <w:r w:rsidR="00614FE1" w:rsidRPr="008F6405">
        <w:rPr>
          <w:b/>
          <w:bCs/>
        </w:rPr>
        <w:t>accounts, pensions</w:t>
      </w:r>
      <w:r w:rsidR="00715409" w:rsidRPr="008F6405">
        <w:rPr>
          <w:b/>
          <w:bCs/>
        </w:rPr>
        <w:t>.</w:t>
      </w:r>
      <w:r w:rsidR="00A63C8E" w:rsidRPr="008F6405">
        <w:rPr>
          <w:b/>
          <w:bCs/>
        </w:rPr>
        <w:t xml:space="preserve"> Ideas</w:t>
      </w:r>
      <w:r w:rsidR="00ED11CE" w:rsidRPr="008F6405">
        <w:rPr>
          <w:b/>
          <w:bCs/>
        </w:rPr>
        <w:t xml:space="preserve"> for a ten stock FTSE </w:t>
      </w:r>
      <w:r w:rsidR="003473C7" w:rsidRPr="008F6405">
        <w:rPr>
          <w:b/>
          <w:bCs/>
        </w:rPr>
        <w:t>portfolio, model</w:t>
      </w:r>
      <w:r w:rsidR="000A00A6" w:rsidRPr="008F6405">
        <w:rPr>
          <w:b/>
          <w:bCs/>
        </w:rPr>
        <w:t xml:space="preserve"> pooled fund </w:t>
      </w:r>
      <w:r w:rsidR="000B7F1A" w:rsidRPr="008F6405">
        <w:rPr>
          <w:b/>
          <w:bCs/>
        </w:rPr>
        <w:t>portfolios (</w:t>
      </w:r>
      <w:r w:rsidR="009023F7" w:rsidRPr="008F6405">
        <w:rPr>
          <w:b/>
          <w:bCs/>
        </w:rPr>
        <w:t>cautious, balanced</w:t>
      </w:r>
      <w:r w:rsidR="009D0C86" w:rsidRPr="008F6405">
        <w:rPr>
          <w:b/>
          <w:bCs/>
        </w:rPr>
        <w:t>,</w:t>
      </w:r>
      <w:r w:rsidR="009023F7" w:rsidRPr="008F6405">
        <w:rPr>
          <w:b/>
          <w:bCs/>
        </w:rPr>
        <w:t xml:space="preserve"> </w:t>
      </w:r>
      <w:r w:rsidR="006A5B3B" w:rsidRPr="008F6405">
        <w:rPr>
          <w:b/>
          <w:bCs/>
        </w:rPr>
        <w:t>adventu</w:t>
      </w:r>
      <w:r w:rsidR="006A5B3B" w:rsidRPr="00C33075">
        <w:rPr>
          <w:b/>
          <w:bCs/>
        </w:rPr>
        <w:t>rous, income</w:t>
      </w:r>
      <w:r w:rsidR="00C55302">
        <w:rPr>
          <w:b/>
          <w:bCs/>
        </w:rPr>
        <w:t xml:space="preserve"> now available online for DIY investors)</w:t>
      </w:r>
      <w:r w:rsidR="00BB532A" w:rsidRPr="00C33075">
        <w:rPr>
          <w:b/>
          <w:bCs/>
        </w:rPr>
        <w:t>,</w:t>
      </w:r>
      <w:r w:rsidR="00E82E23" w:rsidRPr="00C33075">
        <w:rPr>
          <w:b/>
          <w:bCs/>
        </w:rPr>
        <w:t xml:space="preserve"> 30 stock</w:t>
      </w:r>
      <w:r w:rsidR="00BB532A" w:rsidRPr="00C33075">
        <w:rPr>
          <w:b/>
          <w:bCs/>
        </w:rPr>
        <w:t xml:space="preserve"> income </w:t>
      </w:r>
      <w:r w:rsidR="00B27D26" w:rsidRPr="00C33075">
        <w:rPr>
          <w:b/>
          <w:bCs/>
        </w:rPr>
        <w:t>lists, defensive list,</w:t>
      </w:r>
      <w:r w:rsidR="003473C7" w:rsidRPr="00C33075">
        <w:rPr>
          <w:b/>
          <w:bCs/>
        </w:rPr>
        <w:t xml:space="preserve"> hedging</w:t>
      </w:r>
      <w:r w:rsidR="001D35BA" w:rsidRPr="00C33075">
        <w:rPr>
          <w:b/>
          <w:bCs/>
        </w:rPr>
        <w:t xml:space="preserve"> ideas</w:t>
      </w:r>
      <w:r w:rsidR="00CB51DF" w:rsidRPr="00C33075">
        <w:rPr>
          <w:b/>
          <w:bCs/>
        </w:rPr>
        <w:t>,</w:t>
      </w:r>
      <w:r w:rsidR="00ED11CE" w:rsidRPr="00C33075">
        <w:rPr>
          <w:b/>
          <w:bCs/>
        </w:rPr>
        <w:t xml:space="preserve"> and a list of </w:t>
      </w:r>
      <w:r w:rsidR="005E6924" w:rsidRPr="00C33075">
        <w:rPr>
          <w:b/>
          <w:bCs/>
        </w:rPr>
        <w:t>shorter-term</w:t>
      </w:r>
      <w:r w:rsidR="00FE75DA" w:rsidRPr="00C33075">
        <w:rPr>
          <w:b/>
          <w:bCs/>
        </w:rPr>
        <w:t xml:space="preserve"> low risk/</w:t>
      </w:r>
      <w:r w:rsidR="00ED11CE" w:rsidRPr="00C33075">
        <w:rPr>
          <w:b/>
          <w:bCs/>
        </w:rPr>
        <w:t xml:space="preserve"> high risk ideas can also be </w:t>
      </w:r>
      <w:r w:rsidR="00FF15F9" w:rsidRPr="00C33075">
        <w:rPr>
          <w:b/>
          <w:bCs/>
        </w:rPr>
        <w:t>purchased, as well as bespoke portfolio construction/</w:t>
      </w:r>
      <w:r w:rsidR="009A00D3" w:rsidRPr="00C33075">
        <w:rPr>
          <w:b/>
          <w:bCs/>
        </w:rPr>
        <w:t>restructuring</w:t>
      </w:r>
      <w:r w:rsidR="009D0C86" w:rsidRPr="00C33075">
        <w:rPr>
          <w:b/>
          <w:bCs/>
        </w:rPr>
        <w:t xml:space="preserve"> and analysis of legacy portfolios</w:t>
      </w:r>
      <w:r w:rsidR="009A00D3" w:rsidRPr="00C33075">
        <w:rPr>
          <w:b/>
          <w:bCs/>
        </w:rPr>
        <w:t xml:space="preserve">. </w:t>
      </w:r>
    </w:p>
    <w:p w14:paraId="0D9466E5" w14:textId="3FDB7F69" w:rsidR="00ED11CE" w:rsidRPr="00C33075" w:rsidRDefault="00633A0E" w:rsidP="00ED11CE">
      <w:pPr>
        <w:spacing w:before="100" w:after="100"/>
        <w:ind w:right="720"/>
        <w:rPr>
          <w:b/>
          <w:bCs/>
        </w:rPr>
      </w:pPr>
      <w:r w:rsidRPr="00C33075">
        <w:rPr>
          <w:b/>
          <w:bCs/>
        </w:rPr>
        <w:t xml:space="preserve">Feel free to contact </w:t>
      </w:r>
      <w:r w:rsidR="008E00B1" w:rsidRPr="00C33075">
        <w:rPr>
          <w:b/>
          <w:bCs/>
        </w:rPr>
        <w:t xml:space="preserve"> </w:t>
      </w:r>
      <w:r w:rsidR="003E4961" w:rsidRPr="00C33075">
        <w:rPr>
          <w:b/>
          <w:bCs/>
        </w:rPr>
        <w:t xml:space="preserve"> </w:t>
      </w:r>
      <w:r w:rsidR="005339B5" w:rsidRPr="00C33075">
        <w:rPr>
          <w:b/>
          <w:bCs/>
        </w:rPr>
        <w:t xml:space="preserve"> </w:t>
      </w:r>
      <w:r w:rsidRPr="00C33075">
        <w:rPr>
          <w:b/>
          <w:bCs/>
        </w:rPr>
        <w:t>regarding any investment project.</w:t>
      </w:r>
    </w:p>
    <w:p w14:paraId="113C0B1A" w14:textId="77777777" w:rsidR="0046586A" w:rsidRPr="00A914F0" w:rsidRDefault="0046586A" w:rsidP="00ED11CE">
      <w:pPr>
        <w:spacing w:before="100" w:after="100"/>
        <w:ind w:right="720"/>
      </w:pPr>
    </w:p>
    <w:p w14:paraId="5CD2B72F" w14:textId="19963D5A" w:rsidR="00113338" w:rsidRPr="00A914F0" w:rsidRDefault="00ED11CE" w:rsidP="00ED11CE">
      <w:pPr>
        <w:spacing w:before="100" w:after="100"/>
        <w:ind w:right="720"/>
      </w:pPr>
      <w:r w:rsidRPr="00A914F0">
        <w:t>Good luck with</w:t>
      </w:r>
      <w:r w:rsidR="00D54CD7" w:rsidRPr="00A914F0">
        <w:t xml:space="preserve"> </w:t>
      </w:r>
      <w:r w:rsidRPr="00A914F0">
        <w:t>performance!</w:t>
      </w:r>
      <w:r w:rsidR="00AE7FD7" w:rsidRPr="00A914F0">
        <w:t xml:space="preserve"> </w:t>
      </w:r>
    </w:p>
    <w:p w14:paraId="33BC70A0" w14:textId="77777777" w:rsidR="00113338" w:rsidRPr="00A914F0" w:rsidRDefault="00113338" w:rsidP="00ED11CE">
      <w:pPr>
        <w:spacing w:before="100" w:after="100"/>
        <w:ind w:right="720"/>
      </w:pPr>
    </w:p>
    <w:p w14:paraId="4782A8DB" w14:textId="161768EE" w:rsidR="00ED11CE" w:rsidRPr="00A914F0" w:rsidRDefault="00AE7FD7" w:rsidP="00ED11CE">
      <w:pPr>
        <w:spacing w:before="100" w:after="100"/>
        <w:ind w:right="720"/>
      </w:pPr>
      <w:r w:rsidRPr="00A914F0">
        <w:t xml:space="preserve">Ken Baksh </w:t>
      </w:r>
      <w:proofErr w:type="spellStart"/>
      <w:proofErr w:type="gramStart"/>
      <w:r w:rsidR="00113338" w:rsidRPr="00A914F0">
        <w:t>Bsc,Fellow</w:t>
      </w:r>
      <w:proofErr w:type="spellEnd"/>
      <w:proofErr w:type="gramEnd"/>
      <w:r w:rsidR="00113338" w:rsidRPr="00A914F0">
        <w:t xml:space="preserve"> (UK Society of Investment Professionals)</w:t>
      </w:r>
    </w:p>
    <w:p w14:paraId="6B12FF5F" w14:textId="4800D548" w:rsidR="00113338" w:rsidRDefault="009F4E57" w:rsidP="00ED11CE">
      <w:pPr>
        <w:spacing w:before="100" w:after="100"/>
        <w:ind w:right="720"/>
        <w:rPr>
          <w:rStyle w:val="Hyperlink"/>
          <w:color w:val="auto"/>
        </w:rPr>
      </w:pPr>
      <w:hyperlink r:id="rId9" w:history="1">
        <w:r w:rsidR="00113338" w:rsidRPr="00A914F0">
          <w:rPr>
            <w:rStyle w:val="Hyperlink"/>
            <w:color w:val="auto"/>
          </w:rPr>
          <w:t>kenbaksh@btopenworld.com</w:t>
        </w:r>
      </w:hyperlink>
    </w:p>
    <w:p w14:paraId="630300F3" w14:textId="480E4FA6" w:rsidR="000F3E11" w:rsidRPr="00A914F0" w:rsidRDefault="000F3E11" w:rsidP="00ED11CE">
      <w:pPr>
        <w:spacing w:before="100" w:after="100"/>
        <w:ind w:right="720"/>
      </w:pPr>
      <w:r>
        <w:rPr>
          <w:rStyle w:val="Hyperlink"/>
          <w:color w:val="auto"/>
        </w:rPr>
        <w:t>1</w:t>
      </w:r>
      <w:r w:rsidRPr="000F3E11">
        <w:rPr>
          <w:rStyle w:val="Hyperlink"/>
          <w:color w:val="auto"/>
          <w:vertAlign w:val="superscript"/>
        </w:rPr>
        <w:t>st</w:t>
      </w:r>
      <w:r>
        <w:rPr>
          <w:rStyle w:val="Hyperlink"/>
          <w:color w:val="auto"/>
        </w:rPr>
        <w:t xml:space="preserve"> </w:t>
      </w:r>
      <w:r w:rsidR="004358A5">
        <w:rPr>
          <w:rStyle w:val="Hyperlink"/>
          <w:color w:val="auto"/>
        </w:rPr>
        <w:t>December</w:t>
      </w:r>
      <w:r>
        <w:rPr>
          <w:rStyle w:val="Hyperlink"/>
          <w:color w:val="auto"/>
        </w:rPr>
        <w:t>,2020</w:t>
      </w:r>
      <w:r w:rsidR="00D44293">
        <w:rPr>
          <w:rStyle w:val="Hyperlink"/>
          <w:color w:val="auto"/>
        </w:rPr>
        <w:t xml:space="preserve"> </w:t>
      </w:r>
    </w:p>
    <w:p w14:paraId="6126A074" w14:textId="19C8F113" w:rsidR="00113338" w:rsidRPr="00A914F0" w:rsidRDefault="00113338" w:rsidP="00ED11CE">
      <w:pPr>
        <w:spacing w:before="100" w:after="100"/>
        <w:ind w:right="720"/>
      </w:pPr>
    </w:p>
    <w:p w14:paraId="318AFB97" w14:textId="3BE29264" w:rsidR="00136DD3" w:rsidRDefault="00136DD3" w:rsidP="00ED11CE">
      <w:pPr>
        <w:spacing w:before="100" w:after="100"/>
        <w:ind w:right="720"/>
      </w:pPr>
    </w:p>
    <w:p w14:paraId="50578FA2" w14:textId="1D9F8F62" w:rsidR="00136DD3" w:rsidRDefault="00136DD3" w:rsidP="00136DD3">
      <w:pPr>
        <w:rPr>
          <w:rFonts w:ascii="Verdana" w:hAnsi="Verdana"/>
          <w:i/>
          <w:iCs/>
          <w:color w:val="FF0000"/>
          <w:lang w:val="en"/>
        </w:rPr>
      </w:pPr>
      <w:r>
        <w:rPr>
          <w:rFonts w:ascii="Verdana" w:hAnsi="Verdana"/>
          <w:i/>
          <w:iCs/>
          <w:color w:val="FF0000"/>
          <w:lang w:val="en"/>
        </w:rPr>
        <w:t xml:space="preserve">Important Note: This article is not an investment recommendation and </w:t>
      </w:r>
      <w:r w:rsidR="00614FE1">
        <w:rPr>
          <w:rFonts w:ascii="Verdana" w:hAnsi="Verdana"/>
          <w:i/>
          <w:iCs/>
          <w:color w:val="FF0000"/>
          <w:lang w:val="en"/>
        </w:rPr>
        <w:t>should not</w:t>
      </w:r>
      <w:r>
        <w:rPr>
          <w:rFonts w:ascii="Verdana" w:hAnsi="Verdana"/>
          <w:i/>
          <w:iCs/>
          <w:color w:val="FF0000"/>
          <w:lang w:val="en"/>
        </w:rPr>
        <w:t xml:space="preserve"> be relied upon when making investment decisions - investors should conduct their own comprehensive research. Please read the disclaimer. </w:t>
      </w:r>
    </w:p>
    <w:p w14:paraId="4A2E2D2A" w14:textId="77777777" w:rsidR="00136DD3" w:rsidRDefault="00136DD3" w:rsidP="00136DD3">
      <w:pPr>
        <w:rPr>
          <w:rFonts w:ascii="Verdana" w:hAnsi="Verdana"/>
          <w:i/>
          <w:iCs/>
          <w:color w:val="FF0000"/>
          <w:lang w:val="en"/>
        </w:rPr>
      </w:pPr>
    </w:p>
    <w:p w14:paraId="68879300" w14:textId="77777777" w:rsidR="00136DD3" w:rsidRDefault="00136DD3" w:rsidP="00136DD3">
      <w:r>
        <w:rPr>
          <w:rFonts w:ascii="Verdana" w:hAnsi="Verdana"/>
          <w:i/>
          <w:iCs/>
          <w:color w:val="FF0000"/>
          <w:lang w:val="en"/>
        </w:rPr>
        <w:t xml:space="preserve"> </w:t>
      </w:r>
    </w:p>
    <w:p w14:paraId="341F52AC" w14:textId="680AA59A" w:rsidR="00136DD3" w:rsidRDefault="00136DD3" w:rsidP="00136DD3">
      <w:pPr>
        <w:rPr>
          <w:color w:val="FF0000"/>
        </w:rPr>
      </w:pPr>
      <w:r>
        <w:rPr>
          <w:rFonts w:ascii="Verdana" w:hAnsi="Verdana"/>
          <w:b/>
          <w:bCs/>
          <w:i/>
          <w:iCs/>
          <w:color w:val="FF0000"/>
          <w:lang w:val="en"/>
        </w:rPr>
        <w:t>Disclaimer:</w:t>
      </w:r>
      <w:r>
        <w:rPr>
          <w:rFonts w:ascii="Verdana" w:hAnsi="Verdana"/>
          <w:color w:val="FF0000"/>
          <w:lang w:val="en"/>
        </w:rPr>
        <w:t xml:space="preserve"> </w:t>
      </w:r>
      <w:r>
        <w:rPr>
          <w:rFonts w:ascii="Verdana" w:hAnsi="Verdana"/>
          <w:i/>
          <w:iCs/>
          <w:color w:val="FF0000"/>
          <w:lang w:val="en"/>
        </w:rPr>
        <w:t xml:space="preserve">Opinions expressed herein by the author are not an investment recommendation and are not meant to be relied upon in investment decisions. The author is not acting in an investment, tax, legal or any other advisory capacity. This is not an investment research report. The author's opinions expressed herein address only select aspects of potential investment in </w:t>
      </w:r>
      <w:r>
        <w:rPr>
          <w:rFonts w:ascii="Verdana" w:hAnsi="Verdana"/>
          <w:i/>
          <w:iCs/>
          <w:color w:val="FF0000"/>
          <w:lang w:val="en"/>
        </w:rPr>
        <w:lastRenderedPageBreak/>
        <w:t xml:space="preserve">securities of the companies mentioned and cannot be a substitute for comprehensive investment analysis. Any analysis presented herein is illustrative in nature, limited in scope, based on an incomplete set of information, and has limitations to its accuracy. The author recommends that potential and existing investors conduct thorough investment research of their own, including detailed review of the companies' regulatory filings, and consult a qualified investment advisor. The information upon which this material is based was obtained from sources believed to be </w:t>
      </w:r>
      <w:r w:rsidR="00614FE1">
        <w:rPr>
          <w:rFonts w:ascii="Verdana" w:hAnsi="Verdana"/>
          <w:i/>
          <w:iCs/>
          <w:color w:val="FF0000"/>
          <w:lang w:val="en"/>
        </w:rPr>
        <w:t>reliable but</w:t>
      </w:r>
      <w:r>
        <w:rPr>
          <w:rFonts w:ascii="Verdana" w:hAnsi="Verdana"/>
          <w:i/>
          <w:iCs/>
          <w:color w:val="FF0000"/>
          <w:lang w:val="en"/>
        </w:rPr>
        <w:t xml:space="preserve"> has not been independently verified. Therefore, the author cannot guarantee its accuracy. Any opinions or estimates constitute the author's best judgment as of the date of </w:t>
      </w:r>
      <w:r w:rsidR="00614FE1">
        <w:rPr>
          <w:rFonts w:ascii="Verdana" w:hAnsi="Verdana"/>
          <w:i/>
          <w:iCs/>
          <w:color w:val="FF0000"/>
          <w:lang w:val="en"/>
        </w:rPr>
        <w:t>publication and</w:t>
      </w:r>
      <w:r>
        <w:rPr>
          <w:rFonts w:ascii="Verdana" w:hAnsi="Verdana"/>
          <w:i/>
          <w:iCs/>
          <w:color w:val="FF0000"/>
          <w:lang w:val="en"/>
        </w:rPr>
        <w:t xml:space="preserve"> are subject to change without notice. The author explicitly disclaims any liability that may arise from the use of this material.</w:t>
      </w:r>
    </w:p>
    <w:p w14:paraId="30B36B00" w14:textId="77777777" w:rsidR="00136DD3" w:rsidRDefault="00136DD3" w:rsidP="00136DD3"/>
    <w:p w14:paraId="7E16EB8E" w14:textId="77777777" w:rsidR="00136DD3" w:rsidRPr="008C6A64" w:rsidRDefault="00136DD3" w:rsidP="00ED11CE">
      <w:pPr>
        <w:spacing w:before="100" w:after="100"/>
        <w:ind w:right="720"/>
      </w:pPr>
    </w:p>
    <w:p w14:paraId="086DEA5E" w14:textId="7BC4D9B5" w:rsidR="004D6E85" w:rsidRPr="008C6A64" w:rsidRDefault="004D6E85" w:rsidP="00ED11CE">
      <w:pPr>
        <w:spacing w:before="100" w:after="100"/>
        <w:ind w:right="720"/>
      </w:pPr>
    </w:p>
    <w:p w14:paraId="76363FEE" w14:textId="77777777" w:rsidR="005728EA" w:rsidRPr="008C6A64" w:rsidRDefault="005728EA" w:rsidP="00ED11CE">
      <w:pPr>
        <w:spacing w:before="100" w:after="100"/>
        <w:ind w:right="720"/>
      </w:pPr>
    </w:p>
    <w:p w14:paraId="7A94AD2D" w14:textId="77777777" w:rsidR="006B4E13" w:rsidRPr="008C6A64" w:rsidRDefault="006B4E13" w:rsidP="00ED11CE">
      <w:pPr>
        <w:spacing w:before="100" w:after="100"/>
        <w:ind w:right="720"/>
      </w:pPr>
    </w:p>
    <w:p w14:paraId="34C48C76" w14:textId="77777777" w:rsidR="006B4E13" w:rsidRPr="008C6A64" w:rsidRDefault="006B4E13" w:rsidP="00ED11CE">
      <w:pPr>
        <w:spacing w:before="100" w:after="100"/>
        <w:ind w:right="720"/>
      </w:pPr>
    </w:p>
    <w:p w14:paraId="7A934BA1" w14:textId="5FD57DB0" w:rsidR="00ED11CE" w:rsidRPr="008C6A64" w:rsidRDefault="00ED11CE" w:rsidP="00ED11CE">
      <w:r w:rsidRPr="008C6A64">
        <w:t>  </w:t>
      </w:r>
    </w:p>
    <w:p w14:paraId="7FC96562" w14:textId="77777777" w:rsidR="00ED11CE" w:rsidRPr="008C6A64" w:rsidRDefault="00ED11CE" w:rsidP="00ED11CE">
      <w:r w:rsidRPr="008C6A64">
        <w:t> </w:t>
      </w:r>
      <w:r w:rsidR="00532C0D" w:rsidRPr="008C6A64">
        <w:t xml:space="preserve"> </w:t>
      </w:r>
      <w:r w:rsidR="00734CB1" w:rsidRPr="008C6A64">
        <w:t xml:space="preserve">  </w:t>
      </w:r>
    </w:p>
    <w:p w14:paraId="6C435137" w14:textId="77777777" w:rsidR="00ED11CE" w:rsidRPr="008C6A64" w:rsidRDefault="00ED11CE" w:rsidP="00ED11CE">
      <w:r w:rsidRPr="008C6A64">
        <w:t> </w:t>
      </w:r>
    </w:p>
    <w:p w14:paraId="6D8FAB7B" w14:textId="77777777" w:rsidR="006A429A" w:rsidRPr="008C6A64" w:rsidRDefault="006A429A"/>
    <w:sectPr w:rsidR="006A429A" w:rsidRPr="008C6A6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9B7B8" w14:textId="77777777" w:rsidR="009F4E57" w:rsidRDefault="009F4E57" w:rsidP="007071C3">
      <w:r>
        <w:separator/>
      </w:r>
    </w:p>
  </w:endnote>
  <w:endnote w:type="continuationSeparator" w:id="0">
    <w:p w14:paraId="3D1D3164" w14:textId="77777777" w:rsidR="009F4E57" w:rsidRDefault="009F4E57" w:rsidP="00707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8154836"/>
      <w:docPartObj>
        <w:docPartGallery w:val="Page Numbers (Bottom of Page)"/>
        <w:docPartUnique/>
      </w:docPartObj>
    </w:sdtPr>
    <w:sdtEndPr>
      <w:rPr>
        <w:noProof/>
      </w:rPr>
    </w:sdtEndPr>
    <w:sdtContent>
      <w:p w14:paraId="28C67F7F" w14:textId="7D43509B" w:rsidR="009E5B25" w:rsidRDefault="009E5B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18C01F" w14:textId="77777777" w:rsidR="009E5B25" w:rsidRDefault="009E5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C0BA7D" w14:textId="77777777" w:rsidR="009F4E57" w:rsidRDefault="009F4E57" w:rsidP="007071C3">
      <w:r>
        <w:separator/>
      </w:r>
    </w:p>
  </w:footnote>
  <w:footnote w:type="continuationSeparator" w:id="0">
    <w:p w14:paraId="46FB8350" w14:textId="77777777" w:rsidR="009F4E57" w:rsidRDefault="009F4E57" w:rsidP="00707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832AE"/>
    <w:multiLevelType w:val="hybridMultilevel"/>
    <w:tmpl w:val="C4EACFDE"/>
    <w:lvl w:ilvl="0" w:tplc="F1AE5D72">
      <w:start w:val="1"/>
      <w:numFmt w:val="bullet"/>
      <w:lvlText w:val=""/>
      <w:lvlJc w:val="left"/>
      <w:pPr>
        <w:ind w:left="36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07E46A6"/>
    <w:multiLevelType w:val="hybridMultilevel"/>
    <w:tmpl w:val="F9607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1CE"/>
    <w:rsid w:val="00010982"/>
    <w:rsid w:val="0001189F"/>
    <w:rsid w:val="000145D2"/>
    <w:rsid w:val="000153F3"/>
    <w:rsid w:val="00016E21"/>
    <w:rsid w:val="0001725D"/>
    <w:rsid w:val="000172AD"/>
    <w:rsid w:val="00017ADE"/>
    <w:rsid w:val="00023957"/>
    <w:rsid w:val="00023DB2"/>
    <w:rsid w:val="00024D69"/>
    <w:rsid w:val="00026755"/>
    <w:rsid w:val="0002790E"/>
    <w:rsid w:val="00030A45"/>
    <w:rsid w:val="0003199A"/>
    <w:rsid w:val="00032137"/>
    <w:rsid w:val="000322A8"/>
    <w:rsid w:val="00034ABB"/>
    <w:rsid w:val="00035C16"/>
    <w:rsid w:val="000376EB"/>
    <w:rsid w:val="00041A49"/>
    <w:rsid w:val="00041BE9"/>
    <w:rsid w:val="00044952"/>
    <w:rsid w:val="00047A76"/>
    <w:rsid w:val="00051196"/>
    <w:rsid w:val="00051F2D"/>
    <w:rsid w:val="00054E5A"/>
    <w:rsid w:val="00056049"/>
    <w:rsid w:val="0006268F"/>
    <w:rsid w:val="00062DAC"/>
    <w:rsid w:val="0006681B"/>
    <w:rsid w:val="00067E58"/>
    <w:rsid w:val="00071388"/>
    <w:rsid w:val="00072A62"/>
    <w:rsid w:val="00072DE1"/>
    <w:rsid w:val="000758AC"/>
    <w:rsid w:val="000811FE"/>
    <w:rsid w:val="00082234"/>
    <w:rsid w:val="00087039"/>
    <w:rsid w:val="00087420"/>
    <w:rsid w:val="000904AE"/>
    <w:rsid w:val="00091A5D"/>
    <w:rsid w:val="00094C21"/>
    <w:rsid w:val="00095623"/>
    <w:rsid w:val="0009615F"/>
    <w:rsid w:val="00096207"/>
    <w:rsid w:val="0009636C"/>
    <w:rsid w:val="000A00A6"/>
    <w:rsid w:val="000A0B1A"/>
    <w:rsid w:val="000A1E77"/>
    <w:rsid w:val="000A1ECD"/>
    <w:rsid w:val="000A60B7"/>
    <w:rsid w:val="000A67E1"/>
    <w:rsid w:val="000B0712"/>
    <w:rsid w:val="000B0A9D"/>
    <w:rsid w:val="000B0F36"/>
    <w:rsid w:val="000B21DE"/>
    <w:rsid w:val="000B297E"/>
    <w:rsid w:val="000B417C"/>
    <w:rsid w:val="000B453D"/>
    <w:rsid w:val="000B49D5"/>
    <w:rsid w:val="000B5657"/>
    <w:rsid w:val="000B60DB"/>
    <w:rsid w:val="000B6871"/>
    <w:rsid w:val="000B69A7"/>
    <w:rsid w:val="000B7613"/>
    <w:rsid w:val="000B7F1A"/>
    <w:rsid w:val="000C2144"/>
    <w:rsid w:val="000C2EA6"/>
    <w:rsid w:val="000C5AB1"/>
    <w:rsid w:val="000C62CC"/>
    <w:rsid w:val="000C6832"/>
    <w:rsid w:val="000C6E4F"/>
    <w:rsid w:val="000D1EB0"/>
    <w:rsid w:val="000D44B4"/>
    <w:rsid w:val="000E1292"/>
    <w:rsid w:val="000E2CCC"/>
    <w:rsid w:val="000E312B"/>
    <w:rsid w:val="000E404C"/>
    <w:rsid w:val="000F021E"/>
    <w:rsid w:val="000F1573"/>
    <w:rsid w:val="000F181A"/>
    <w:rsid w:val="000F3E11"/>
    <w:rsid w:val="000F605C"/>
    <w:rsid w:val="00101620"/>
    <w:rsid w:val="00101CCC"/>
    <w:rsid w:val="0010203D"/>
    <w:rsid w:val="00102FCB"/>
    <w:rsid w:val="00104BE1"/>
    <w:rsid w:val="001059A8"/>
    <w:rsid w:val="00105D36"/>
    <w:rsid w:val="00110459"/>
    <w:rsid w:val="00111DBF"/>
    <w:rsid w:val="001126B0"/>
    <w:rsid w:val="00113338"/>
    <w:rsid w:val="0011616D"/>
    <w:rsid w:val="00116841"/>
    <w:rsid w:val="001169B6"/>
    <w:rsid w:val="0011712E"/>
    <w:rsid w:val="00117435"/>
    <w:rsid w:val="0012043D"/>
    <w:rsid w:val="0012162D"/>
    <w:rsid w:val="00122A02"/>
    <w:rsid w:val="00124EFC"/>
    <w:rsid w:val="00124FFA"/>
    <w:rsid w:val="0012637B"/>
    <w:rsid w:val="00126B02"/>
    <w:rsid w:val="00126DDF"/>
    <w:rsid w:val="00130DB1"/>
    <w:rsid w:val="00132BF1"/>
    <w:rsid w:val="00133E70"/>
    <w:rsid w:val="00134CD2"/>
    <w:rsid w:val="00135E71"/>
    <w:rsid w:val="00136359"/>
    <w:rsid w:val="00136DD3"/>
    <w:rsid w:val="00140D16"/>
    <w:rsid w:val="001421A3"/>
    <w:rsid w:val="001434A7"/>
    <w:rsid w:val="00143639"/>
    <w:rsid w:val="00144896"/>
    <w:rsid w:val="0014546C"/>
    <w:rsid w:val="0014604D"/>
    <w:rsid w:val="00146D64"/>
    <w:rsid w:val="00151EB3"/>
    <w:rsid w:val="0015293E"/>
    <w:rsid w:val="00153019"/>
    <w:rsid w:val="0015552B"/>
    <w:rsid w:val="001569E7"/>
    <w:rsid w:val="00156B9F"/>
    <w:rsid w:val="00160623"/>
    <w:rsid w:val="00163644"/>
    <w:rsid w:val="001670BC"/>
    <w:rsid w:val="00167999"/>
    <w:rsid w:val="0017097D"/>
    <w:rsid w:val="00171752"/>
    <w:rsid w:val="00171CC7"/>
    <w:rsid w:val="001722EE"/>
    <w:rsid w:val="0017332E"/>
    <w:rsid w:val="001761A5"/>
    <w:rsid w:val="00177EC5"/>
    <w:rsid w:val="0018062D"/>
    <w:rsid w:val="001853DA"/>
    <w:rsid w:val="00185B63"/>
    <w:rsid w:val="00186342"/>
    <w:rsid w:val="001871D6"/>
    <w:rsid w:val="00187E92"/>
    <w:rsid w:val="001910C7"/>
    <w:rsid w:val="00192014"/>
    <w:rsid w:val="00193CA4"/>
    <w:rsid w:val="001952AA"/>
    <w:rsid w:val="001968A5"/>
    <w:rsid w:val="00196A0A"/>
    <w:rsid w:val="00196A83"/>
    <w:rsid w:val="00197A1F"/>
    <w:rsid w:val="001A2693"/>
    <w:rsid w:val="001A3C73"/>
    <w:rsid w:val="001A3C91"/>
    <w:rsid w:val="001A470A"/>
    <w:rsid w:val="001A6C7B"/>
    <w:rsid w:val="001A7D09"/>
    <w:rsid w:val="001B0649"/>
    <w:rsid w:val="001B0DFB"/>
    <w:rsid w:val="001B1134"/>
    <w:rsid w:val="001B181B"/>
    <w:rsid w:val="001B272A"/>
    <w:rsid w:val="001B4CDA"/>
    <w:rsid w:val="001B4D22"/>
    <w:rsid w:val="001B72A2"/>
    <w:rsid w:val="001B761C"/>
    <w:rsid w:val="001C123A"/>
    <w:rsid w:val="001C2912"/>
    <w:rsid w:val="001C4F5C"/>
    <w:rsid w:val="001C6A71"/>
    <w:rsid w:val="001C7EA3"/>
    <w:rsid w:val="001D093E"/>
    <w:rsid w:val="001D1195"/>
    <w:rsid w:val="001D35BA"/>
    <w:rsid w:val="001D4E2B"/>
    <w:rsid w:val="001D60A4"/>
    <w:rsid w:val="001D69F7"/>
    <w:rsid w:val="001D7204"/>
    <w:rsid w:val="001D7AD4"/>
    <w:rsid w:val="001E0631"/>
    <w:rsid w:val="001E0652"/>
    <w:rsid w:val="001E0987"/>
    <w:rsid w:val="001E0E7A"/>
    <w:rsid w:val="001E3C8D"/>
    <w:rsid w:val="001E4F4D"/>
    <w:rsid w:val="001E5E49"/>
    <w:rsid w:val="001F1880"/>
    <w:rsid w:val="001F3310"/>
    <w:rsid w:val="001F3FFD"/>
    <w:rsid w:val="001F4A99"/>
    <w:rsid w:val="001F4F26"/>
    <w:rsid w:val="001F5AD3"/>
    <w:rsid w:val="001F6BC6"/>
    <w:rsid w:val="00201900"/>
    <w:rsid w:val="00203598"/>
    <w:rsid w:val="0020420A"/>
    <w:rsid w:val="002055BD"/>
    <w:rsid w:val="00206E76"/>
    <w:rsid w:val="002120CE"/>
    <w:rsid w:val="00214607"/>
    <w:rsid w:val="00217E94"/>
    <w:rsid w:val="002210FF"/>
    <w:rsid w:val="002238DF"/>
    <w:rsid w:val="00223B59"/>
    <w:rsid w:val="00223D42"/>
    <w:rsid w:val="002240EA"/>
    <w:rsid w:val="0023159A"/>
    <w:rsid w:val="002318EE"/>
    <w:rsid w:val="00237733"/>
    <w:rsid w:val="00242377"/>
    <w:rsid w:val="00246FAA"/>
    <w:rsid w:val="002515B9"/>
    <w:rsid w:val="0025207E"/>
    <w:rsid w:val="0025288F"/>
    <w:rsid w:val="00253422"/>
    <w:rsid w:val="00253E15"/>
    <w:rsid w:val="002543C6"/>
    <w:rsid w:val="00256D12"/>
    <w:rsid w:val="0026207D"/>
    <w:rsid w:val="0026230E"/>
    <w:rsid w:val="00262E4D"/>
    <w:rsid w:val="00263D02"/>
    <w:rsid w:val="00264391"/>
    <w:rsid w:val="00265A94"/>
    <w:rsid w:val="002675E4"/>
    <w:rsid w:val="00267C9A"/>
    <w:rsid w:val="002753C5"/>
    <w:rsid w:val="00275C23"/>
    <w:rsid w:val="0027641F"/>
    <w:rsid w:val="002771E5"/>
    <w:rsid w:val="00277696"/>
    <w:rsid w:val="00277B4C"/>
    <w:rsid w:val="00280114"/>
    <w:rsid w:val="0028365C"/>
    <w:rsid w:val="00284360"/>
    <w:rsid w:val="0028725A"/>
    <w:rsid w:val="00290D34"/>
    <w:rsid w:val="00291315"/>
    <w:rsid w:val="00293444"/>
    <w:rsid w:val="00293B2F"/>
    <w:rsid w:val="0029722A"/>
    <w:rsid w:val="002A25B5"/>
    <w:rsid w:val="002A384D"/>
    <w:rsid w:val="002A5157"/>
    <w:rsid w:val="002A6834"/>
    <w:rsid w:val="002B2354"/>
    <w:rsid w:val="002B3AD3"/>
    <w:rsid w:val="002B4550"/>
    <w:rsid w:val="002B5E62"/>
    <w:rsid w:val="002B6421"/>
    <w:rsid w:val="002C6271"/>
    <w:rsid w:val="002C671D"/>
    <w:rsid w:val="002D1F76"/>
    <w:rsid w:val="002D68CE"/>
    <w:rsid w:val="002D6F1B"/>
    <w:rsid w:val="002D790E"/>
    <w:rsid w:val="002E0A75"/>
    <w:rsid w:val="002E0F9C"/>
    <w:rsid w:val="002E17DD"/>
    <w:rsid w:val="002E201A"/>
    <w:rsid w:val="002E27F6"/>
    <w:rsid w:val="002E5633"/>
    <w:rsid w:val="002E6BC6"/>
    <w:rsid w:val="002F45D9"/>
    <w:rsid w:val="002F5F1D"/>
    <w:rsid w:val="003002D4"/>
    <w:rsid w:val="003014B9"/>
    <w:rsid w:val="00301920"/>
    <w:rsid w:val="00301AD8"/>
    <w:rsid w:val="00301EBD"/>
    <w:rsid w:val="003054C1"/>
    <w:rsid w:val="0031277A"/>
    <w:rsid w:val="003137C0"/>
    <w:rsid w:val="0031406A"/>
    <w:rsid w:val="00314F28"/>
    <w:rsid w:val="00315D14"/>
    <w:rsid w:val="00320A6C"/>
    <w:rsid w:val="00320D5C"/>
    <w:rsid w:val="003210C3"/>
    <w:rsid w:val="003212E0"/>
    <w:rsid w:val="00321B84"/>
    <w:rsid w:val="00325F38"/>
    <w:rsid w:val="00326A7E"/>
    <w:rsid w:val="00327510"/>
    <w:rsid w:val="00327D93"/>
    <w:rsid w:val="003315C1"/>
    <w:rsid w:val="003341B1"/>
    <w:rsid w:val="00334C7D"/>
    <w:rsid w:val="00335D50"/>
    <w:rsid w:val="00335ECA"/>
    <w:rsid w:val="00340244"/>
    <w:rsid w:val="00340E65"/>
    <w:rsid w:val="003412C1"/>
    <w:rsid w:val="003452AC"/>
    <w:rsid w:val="003473C7"/>
    <w:rsid w:val="0034744F"/>
    <w:rsid w:val="00347732"/>
    <w:rsid w:val="00347A35"/>
    <w:rsid w:val="0035218E"/>
    <w:rsid w:val="00352F50"/>
    <w:rsid w:val="00361396"/>
    <w:rsid w:val="003629F8"/>
    <w:rsid w:val="00362CCB"/>
    <w:rsid w:val="00363CAD"/>
    <w:rsid w:val="00363D00"/>
    <w:rsid w:val="0036642E"/>
    <w:rsid w:val="003677CC"/>
    <w:rsid w:val="00370F1F"/>
    <w:rsid w:val="00370F3C"/>
    <w:rsid w:val="00372586"/>
    <w:rsid w:val="0037557E"/>
    <w:rsid w:val="0037682B"/>
    <w:rsid w:val="00380A4F"/>
    <w:rsid w:val="00381239"/>
    <w:rsid w:val="00381450"/>
    <w:rsid w:val="00382114"/>
    <w:rsid w:val="003822FF"/>
    <w:rsid w:val="00382844"/>
    <w:rsid w:val="0038305A"/>
    <w:rsid w:val="00383AF9"/>
    <w:rsid w:val="00383B20"/>
    <w:rsid w:val="0038605C"/>
    <w:rsid w:val="00386119"/>
    <w:rsid w:val="00386490"/>
    <w:rsid w:val="00386D7E"/>
    <w:rsid w:val="00387B9A"/>
    <w:rsid w:val="00390AE0"/>
    <w:rsid w:val="00391D3D"/>
    <w:rsid w:val="00392EF1"/>
    <w:rsid w:val="00393320"/>
    <w:rsid w:val="003939B4"/>
    <w:rsid w:val="00393FBB"/>
    <w:rsid w:val="00394A8D"/>
    <w:rsid w:val="00395494"/>
    <w:rsid w:val="00395B82"/>
    <w:rsid w:val="00396BC4"/>
    <w:rsid w:val="003A18B2"/>
    <w:rsid w:val="003A3324"/>
    <w:rsid w:val="003A5B49"/>
    <w:rsid w:val="003A705D"/>
    <w:rsid w:val="003A73BD"/>
    <w:rsid w:val="003B0C56"/>
    <w:rsid w:val="003B2E4C"/>
    <w:rsid w:val="003B3787"/>
    <w:rsid w:val="003B4F8A"/>
    <w:rsid w:val="003B52A9"/>
    <w:rsid w:val="003B5A21"/>
    <w:rsid w:val="003B66A6"/>
    <w:rsid w:val="003C02EE"/>
    <w:rsid w:val="003C0886"/>
    <w:rsid w:val="003C121D"/>
    <w:rsid w:val="003C68D2"/>
    <w:rsid w:val="003D402B"/>
    <w:rsid w:val="003D4322"/>
    <w:rsid w:val="003D4433"/>
    <w:rsid w:val="003D6271"/>
    <w:rsid w:val="003D66F7"/>
    <w:rsid w:val="003D7BA3"/>
    <w:rsid w:val="003E0E1B"/>
    <w:rsid w:val="003E200C"/>
    <w:rsid w:val="003E2767"/>
    <w:rsid w:val="003E2E09"/>
    <w:rsid w:val="003E338F"/>
    <w:rsid w:val="003E3A7C"/>
    <w:rsid w:val="003E41CA"/>
    <w:rsid w:val="003E4961"/>
    <w:rsid w:val="003E49B7"/>
    <w:rsid w:val="003F01FA"/>
    <w:rsid w:val="003F09B7"/>
    <w:rsid w:val="003F18DD"/>
    <w:rsid w:val="003F2417"/>
    <w:rsid w:val="003F32EC"/>
    <w:rsid w:val="003F644B"/>
    <w:rsid w:val="003F7024"/>
    <w:rsid w:val="004014CB"/>
    <w:rsid w:val="00403FB5"/>
    <w:rsid w:val="004053FB"/>
    <w:rsid w:val="00405CAF"/>
    <w:rsid w:val="004060BF"/>
    <w:rsid w:val="00407D64"/>
    <w:rsid w:val="004107FB"/>
    <w:rsid w:val="00410D92"/>
    <w:rsid w:val="00412C37"/>
    <w:rsid w:val="00413A81"/>
    <w:rsid w:val="00413DE2"/>
    <w:rsid w:val="00413F12"/>
    <w:rsid w:val="00414C11"/>
    <w:rsid w:val="004156C1"/>
    <w:rsid w:val="00415A67"/>
    <w:rsid w:val="004168C5"/>
    <w:rsid w:val="00420622"/>
    <w:rsid w:val="00421905"/>
    <w:rsid w:val="004237EB"/>
    <w:rsid w:val="004256AB"/>
    <w:rsid w:val="00425B63"/>
    <w:rsid w:val="00426377"/>
    <w:rsid w:val="00431521"/>
    <w:rsid w:val="00431684"/>
    <w:rsid w:val="00431B8C"/>
    <w:rsid w:val="004358A5"/>
    <w:rsid w:val="0043705D"/>
    <w:rsid w:val="00443D2F"/>
    <w:rsid w:val="00445A2E"/>
    <w:rsid w:val="00445BA9"/>
    <w:rsid w:val="00445D9C"/>
    <w:rsid w:val="00450FAB"/>
    <w:rsid w:val="0045145B"/>
    <w:rsid w:val="00452916"/>
    <w:rsid w:val="0045370F"/>
    <w:rsid w:val="0045391B"/>
    <w:rsid w:val="00453CC0"/>
    <w:rsid w:val="00454DC9"/>
    <w:rsid w:val="00454E66"/>
    <w:rsid w:val="00456AEC"/>
    <w:rsid w:val="00456F42"/>
    <w:rsid w:val="00461920"/>
    <w:rsid w:val="00463847"/>
    <w:rsid w:val="00463ACD"/>
    <w:rsid w:val="00465833"/>
    <w:rsid w:val="0046586A"/>
    <w:rsid w:val="00466783"/>
    <w:rsid w:val="00466E73"/>
    <w:rsid w:val="0046796A"/>
    <w:rsid w:val="00470955"/>
    <w:rsid w:val="00470A0F"/>
    <w:rsid w:val="004714D9"/>
    <w:rsid w:val="00471592"/>
    <w:rsid w:val="00473EB2"/>
    <w:rsid w:val="00474802"/>
    <w:rsid w:val="00475C22"/>
    <w:rsid w:val="00480D3B"/>
    <w:rsid w:val="004852AE"/>
    <w:rsid w:val="0048606C"/>
    <w:rsid w:val="0048623D"/>
    <w:rsid w:val="004867D9"/>
    <w:rsid w:val="00486940"/>
    <w:rsid w:val="0048736A"/>
    <w:rsid w:val="0049008B"/>
    <w:rsid w:val="00490261"/>
    <w:rsid w:val="00490BFB"/>
    <w:rsid w:val="00492576"/>
    <w:rsid w:val="0049419C"/>
    <w:rsid w:val="00494357"/>
    <w:rsid w:val="00496F20"/>
    <w:rsid w:val="004A0156"/>
    <w:rsid w:val="004A34E7"/>
    <w:rsid w:val="004A3A43"/>
    <w:rsid w:val="004A3D70"/>
    <w:rsid w:val="004A4562"/>
    <w:rsid w:val="004A4934"/>
    <w:rsid w:val="004A4D47"/>
    <w:rsid w:val="004A7AC3"/>
    <w:rsid w:val="004B0A13"/>
    <w:rsid w:val="004B30F7"/>
    <w:rsid w:val="004B3202"/>
    <w:rsid w:val="004B38C5"/>
    <w:rsid w:val="004B5ACC"/>
    <w:rsid w:val="004B656D"/>
    <w:rsid w:val="004B6E3C"/>
    <w:rsid w:val="004C0755"/>
    <w:rsid w:val="004C0BE1"/>
    <w:rsid w:val="004C6209"/>
    <w:rsid w:val="004C6A9A"/>
    <w:rsid w:val="004C7093"/>
    <w:rsid w:val="004C75BD"/>
    <w:rsid w:val="004D197A"/>
    <w:rsid w:val="004D1AC0"/>
    <w:rsid w:val="004D28C6"/>
    <w:rsid w:val="004D3AA4"/>
    <w:rsid w:val="004D47BF"/>
    <w:rsid w:val="004D4878"/>
    <w:rsid w:val="004D4EDF"/>
    <w:rsid w:val="004D63D1"/>
    <w:rsid w:val="004D6E85"/>
    <w:rsid w:val="004D7027"/>
    <w:rsid w:val="004D72AA"/>
    <w:rsid w:val="004E0F6E"/>
    <w:rsid w:val="004E1125"/>
    <w:rsid w:val="004E3552"/>
    <w:rsid w:val="004E7BA8"/>
    <w:rsid w:val="004F016A"/>
    <w:rsid w:val="004F1624"/>
    <w:rsid w:val="004F19BA"/>
    <w:rsid w:val="004F3424"/>
    <w:rsid w:val="004F3DDC"/>
    <w:rsid w:val="00500289"/>
    <w:rsid w:val="00501B4B"/>
    <w:rsid w:val="00501FFB"/>
    <w:rsid w:val="0050205D"/>
    <w:rsid w:val="00503AFE"/>
    <w:rsid w:val="005054D0"/>
    <w:rsid w:val="00505B11"/>
    <w:rsid w:val="0050654B"/>
    <w:rsid w:val="00507CCC"/>
    <w:rsid w:val="005104FB"/>
    <w:rsid w:val="0051313A"/>
    <w:rsid w:val="00513675"/>
    <w:rsid w:val="0051540C"/>
    <w:rsid w:val="00517437"/>
    <w:rsid w:val="00517E68"/>
    <w:rsid w:val="0052014E"/>
    <w:rsid w:val="00523464"/>
    <w:rsid w:val="00523B85"/>
    <w:rsid w:val="00525A07"/>
    <w:rsid w:val="005276DD"/>
    <w:rsid w:val="00527AAF"/>
    <w:rsid w:val="0053159F"/>
    <w:rsid w:val="00532C0D"/>
    <w:rsid w:val="00533486"/>
    <w:rsid w:val="005339B5"/>
    <w:rsid w:val="00533EDF"/>
    <w:rsid w:val="005340B9"/>
    <w:rsid w:val="0053538A"/>
    <w:rsid w:val="005417C5"/>
    <w:rsid w:val="00543C48"/>
    <w:rsid w:val="0054476E"/>
    <w:rsid w:val="00546341"/>
    <w:rsid w:val="00547BFB"/>
    <w:rsid w:val="005515D1"/>
    <w:rsid w:val="00551EF3"/>
    <w:rsid w:val="00553427"/>
    <w:rsid w:val="005551B1"/>
    <w:rsid w:val="005567B9"/>
    <w:rsid w:val="00557B51"/>
    <w:rsid w:val="005626A0"/>
    <w:rsid w:val="00562EFB"/>
    <w:rsid w:val="005635DD"/>
    <w:rsid w:val="005661F1"/>
    <w:rsid w:val="005666DE"/>
    <w:rsid w:val="00567B44"/>
    <w:rsid w:val="005728EA"/>
    <w:rsid w:val="00574A02"/>
    <w:rsid w:val="00575261"/>
    <w:rsid w:val="00575AD2"/>
    <w:rsid w:val="005769D0"/>
    <w:rsid w:val="00576B82"/>
    <w:rsid w:val="00577052"/>
    <w:rsid w:val="00581828"/>
    <w:rsid w:val="00582314"/>
    <w:rsid w:val="005823F5"/>
    <w:rsid w:val="00584519"/>
    <w:rsid w:val="00584C7B"/>
    <w:rsid w:val="00585279"/>
    <w:rsid w:val="00585E8A"/>
    <w:rsid w:val="00591F3A"/>
    <w:rsid w:val="00594775"/>
    <w:rsid w:val="005949C3"/>
    <w:rsid w:val="00594CAE"/>
    <w:rsid w:val="005971FB"/>
    <w:rsid w:val="005A0E67"/>
    <w:rsid w:val="005A1B6D"/>
    <w:rsid w:val="005A50A6"/>
    <w:rsid w:val="005A5EF4"/>
    <w:rsid w:val="005A69F1"/>
    <w:rsid w:val="005A7DD7"/>
    <w:rsid w:val="005B1D1E"/>
    <w:rsid w:val="005B2E04"/>
    <w:rsid w:val="005B3A04"/>
    <w:rsid w:val="005B3D17"/>
    <w:rsid w:val="005B4A04"/>
    <w:rsid w:val="005B6959"/>
    <w:rsid w:val="005B7493"/>
    <w:rsid w:val="005B7BFD"/>
    <w:rsid w:val="005C0978"/>
    <w:rsid w:val="005C39E6"/>
    <w:rsid w:val="005C681E"/>
    <w:rsid w:val="005C735C"/>
    <w:rsid w:val="005C7462"/>
    <w:rsid w:val="005D0237"/>
    <w:rsid w:val="005D1A97"/>
    <w:rsid w:val="005D263A"/>
    <w:rsid w:val="005D300C"/>
    <w:rsid w:val="005D32CA"/>
    <w:rsid w:val="005D407F"/>
    <w:rsid w:val="005D429D"/>
    <w:rsid w:val="005D6C64"/>
    <w:rsid w:val="005D7DF8"/>
    <w:rsid w:val="005E0475"/>
    <w:rsid w:val="005E2321"/>
    <w:rsid w:val="005E31C5"/>
    <w:rsid w:val="005E31F4"/>
    <w:rsid w:val="005E42E9"/>
    <w:rsid w:val="005E4BAC"/>
    <w:rsid w:val="005E6924"/>
    <w:rsid w:val="005E7397"/>
    <w:rsid w:val="005E79EF"/>
    <w:rsid w:val="005E7C07"/>
    <w:rsid w:val="005F1D19"/>
    <w:rsid w:val="005F1FE0"/>
    <w:rsid w:val="005F2EA7"/>
    <w:rsid w:val="005F55F2"/>
    <w:rsid w:val="005F66A8"/>
    <w:rsid w:val="005F75EB"/>
    <w:rsid w:val="005F770E"/>
    <w:rsid w:val="00602320"/>
    <w:rsid w:val="006023BA"/>
    <w:rsid w:val="006030F8"/>
    <w:rsid w:val="006050B9"/>
    <w:rsid w:val="00606A3D"/>
    <w:rsid w:val="00607B28"/>
    <w:rsid w:val="00611591"/>
    <w:rsid w:val="006137CD"/>
    <w:rsid w:val="00614FE1"/>
    <w:rsid w:val="00615042"/>
    <w:rsid w:val="00617A4F"/>
    <w:rsid w:val="00620047"/>
    <w:rsid w:val="00621BA1"/>
    <w:rsid w:val="00623839"/>
    <w:rsid w:val="0062467C"/>
    <w:rsid w:val="00625B74"/>
    <w:rsid w:val="00632015"/>
    <w:rsid w:val="0063218A"/>
    <w:rsid w:val="00633A0E"/>
    <w:rsid w:val="00633B68"/>
    <w:rsid w:val="006356B5"/>
    <w:rsid w:val="006365C7"/>
    <w:rsid w:val="006369A9"/>
    <w:rsid w:val="006404D6"/>
    <w:rsid w:val="006408CB"/>
    <w:rsid w:val="00641455"/>
    <w:rsid w:val="00641570"/>
    <w:rsid w:val="00641FF7"/>
    <w:rsid w:val="00643048"/>
    <w:rsid w:val="006431A1"/>
    <w:rsid w:val="006431DA"/>
    <w:rsid w:val="006439AD"/>
    <w:rsid w:val="006444C2"/>
    <w:rsid w:val="006521F7"/>
    <w:rsid w:val="00652A89"/>
    <w:rsid w:val="006531A5"/>
    <w:rsid w:val="00654467"/>
    <w:rsid w:val="00654B41"/>
    <w:rsid w:val="00655D59"/>
    <w:rsid w:val="00661F96"/>
    <w:rsid w:val="006640DC"/>
    <w:rsid w:val="00665BA7"/>
    <w:rsid w:val="006668D7"/>
    <w:rsid w:val="00670718"/>
    <w:rsid w:val="00673468"/>
    <w:rsid w:val="00677103"/>
    <w:rsid w:val="0068043D"/>
    <w:rsid w:val="0068328C"/>
    <w:rsid w:val="00683891"/>
    <w:rsid w:val="006838F1"/>
    <w:rsid w:val="006838FA"/>
    <w:rsid w:val="00683EFB"/>
    <w:rsid w:val="00687166"/>
    <w:rsid w:val="00687791"/>
    <w:rsid w:val="00687B17"/>
    <w:rsid w:val="0069260A"/>
    <w:rsid w:val="00693768"/>
    <w:rsid w:val="00694384"/>
    <w:rsid w:val="00694982"/>
    <w:rsid w:val="006967F8"/>
    <w:rsid w:val="00696F55"/>
    <w:rsid w:val="006A1CC1"/>
    <w:rsid w:val="006A4072"/>
    <w:rsid w:val="006A429A"/>
    <w:rsid w:val="006A5947"/>
    <w:rsid w:val="006A5B3B"/>
    <w:rsid w:val="006A7C58"/>
    <w:rsid w:val="006B098D"/>
    <w:rsid w:val="006B16B5"/>
    <w:rsid w:val="006B433A"/>
    <w:rsid w:val="006B4E13"/>
    <w:rsid w:val="006B546B"/>
    <w:rsid w:val="006B5A00"/>
    <w:rsid w:val="006B5C6F"/>
    <w:rsid w:val="006C24F6"/>
    <w:rsid w:val="006C2B8C"/>
    <w:rsid w:val="006C34FF"/>
    <w:rsid w:val="006C38A4"/>
    <w:rsid w:val="006C52FD"/>
    <w:rsid w:val="006C53EB"/>
    <w:rsid w:val="006C5442"/>
    <w:rsid w:val="006C6CF1"/>
    <w:rsid w:val="006C722B"/>
    <w:rsid w:val="006D0377"/>
    <w:rsid w:val="006D0DC5"/>
    <w:rsid w:val="006D121D"/>
    <w:rsid w:val="006D1690"/>
    <w:rsid w:val="006D1B07"/>
    <w:rsid w:val="006D2112"/>
    <w:rsid w:val="006D2213"/>
    <w:rsid w:val="006D3BA6"/>
    <w:rsid w:val="006D44D6"/>
    <w:rsid w:val="006D45D0"/>
    <w:rsid w:val="006D6F5B"/>
    <w:rsid w:val="006E04D5"/>
    <w:rsid w:val="006E05E7"/>
    <w:rsid w:val="006E1974"/>
    <w:rsid w:val="006E1D34"/>
    <w:rsid w:val="006E2166"/>
    <w:rsid w:val="006E2815"/>
    <w:rsid w:val="006E4C0C"/>
    <w:rsid w:val="006E4F18"/>
    <w:rsid w:val="006E75A7"/>
    <w:rsid w:val="006E7E05"/>
    <w:rsid w:val="006F3168"/>
    <w:rsid w:val="006F42A9"/>
    <w:rsid w:val="006F4819"/>
    <w:rsid w:val="006F4DE1"/>
    <w:rsid w:val="006F513A"/>
    <w:rsid w:val="006F5D9F"/>
    <w:rsid w:val="006F717B"/>
    <w:rsid w:val="006F7B80"/>
    <w:rsid w:val="007009E6"/>
    <w:rsid w:val="0070194D"/>
    <w:rsid w:val="00702147"/>
    <w:rsid w:val="007040F9"/>
    <w:rsid w:val="00705863"/>
    <w:rsid w:val="00706456"/>
    <w:rsid w:val="007071C3"/>
    <w:rsid w:val="00712664"/>
    <w:rsid w:val="0071282B"/>
    <w:rsid w:val="00712E17"/>
    <w:rsid w:val="00714519"/>
    <w:rsid w:val="00714B09"/>
    <w:rsid w:val="00715037"/>
    <w:rsid w:val="00715409"/>
    <w:rsid w:val="0071552F"/>
    <w:rsid w:val="007156FA"/>
    <w:rsid w:val="00715AFB"/>
    <w:rsid w:val="00721C80"/>
    <w:rsid w:val="00722334"/>
    <w:rsid w:val="00722E95"/>
    <w:rsid w:val="00723E86"/>
    <w:rsid w:val="007256BB"/>
    <w:rsid w:val="0072674C"/>
    <w:rsid w:val="00726A1E"/>
    <w:rsid w:val="00726C8A"/>
    <w:rsid w:val="00727038"/>
    <w:rsid w:val="00727DFC"/>
    <w:rsid w:val="00734CB1"/>
    <w:rsid w:val="0073623C"/>
    <w:rsid w:val="0073693B"/>
    <w:rsid w:val="00740827"/>
    <w:rsid w:val="0074256B"/>
    <w:rsid w:val="00743941"/>
    <w:rsid w:val="00743DF4"/>
    <w:rsid w:val="007443F8"/>
    <w:rsid w:val="007469C3"/>
    <w:rsid w:val="007479FD"/>
    <w:rsid w:val="007515E4"/>
    <w:rsid w:val="0075169B"/>
    <w:rsid w:val="0075261E"/>
    <w:rsid w:val="00752836"/>
    <w:rsid w:val="00755071"/>
    <w:rsid w:val="00755354"/>
    <w:rsid w:val="00757900"/>
    <w:rsid w:val="00760D1D"/>
    <w:rsid w:val="00764E9D"/>
    <w:rsid w:val="00771F0A"/>
    <w:rsid w:val="0077440C"/>
    <w:rsid w:val="007744ED"/>
    <w:rsid w:val="00774638"/>
    <w:rsid w:val="00774EAD"/>
    <w:rsid w:val="00777424"/>
    <w:rsid w:val="007775CB"/>
    <w:rsid w:val="00782026"/>
    <w:rsid w:val="007866D4"/>
    <w:rsid w:val="00787C40"/>
    <w:rsid w:val="00791CEF"/>
    <w:rsid w:val="007922BB"/>
    <w:rsid w:val="00794E36"/>
    <w:rsid w:val="007A1609"/>
    <w:rsid w:val="007A36EE"/>
    <w:rsid w:val="007A40C3"/>
    <w:rsid w:val="007A49D5"/>
    <w:rsid w:val="007A4A60"/>
    <w:rsid w:val="007A5090"/>
    <w:rsid w:val="007A5690"/>
    <w:rsid w:val="007A6180"/>
    <w:rsid w:val="007A6D9C"/>
    <w:rsid w:val="007A7FDA"/>
    <w:rsid w:val="007B1338"/>
    <w:rsid w:val="007B2251"/>
    <w:rsid w:val="007B5D18"/>
    <w:rsid w:val="007B7309"/>
    <w:rsid w:val="007C04B2"/>
    <w:rsid w:val="007C083F"/>
    <w:rsid w:val="007C157B"/>
    <w:rsid w:val="007C2409"/>
    <w:rsid w:val="007C4D6E"/>
    <w:rsid w:val="007C5524"/>
    <w:rsid w:val="007C66CF"/>
    <w:rsid w:val="007D011D"/>
    <w:rsid w:val="007D12E7"/>
    <w:rsid w:val="007D1F6B"/>
    <w:rsid w:val="007D43E5"/>
    <w:rsid w:val="007D4F41"/>
    <w:rsid w:val="007D6681"/>
    <w:rsid w:val="007D7B01"/>
    <w:rsid w:val="007D7CE3"/>
    <w:rsid w:val="007E0170"/>
    <w:rsid w:val="007E19DC"/>
    <w:rsid w:val="007E5346"/>
    <w:rsid w:val="007F086B"/>
    <w:rsid w:val="007F266E"/>
    <w:rsid w:val="007F29DB"/>
    <w:rsid w:val="007F2B36"/>
    <w:rsid w:val="007F315A"/>
    <w:rsid w:val="007F3BFC"/>
    <w:rsid w:val="007F433C"/>
    <w:rsid w:val="007F4AB8"/>
    <w:rsid w:val="007F51A9"/>
    <w:rsid w:val="007F53B6"/>
    <w:rsid w:val="007F5B10"/>
    <w:rsid w:val="007F679C"/>
    <w:rsid w:val="007F690A"/>
    <w:rsid w:val="007F7506"/>
    <w:rsid w:val="00800071"/>
    <w:rsid w:val="0080194F"/>
    <w:rsid w:val="00802011"/>
    <w:rsid w:val="00803391"/>
    <w:rsid w:val="00805656"/>
    <w:rsid w:val="00806FFA"/>
    <w:rsid w:val="00807845"/>
    <w:rsid w:val="00807B04"/>
    <w:rsid w:val="00807DBC"/>
    <w:rsid w:val="00807F48"/>
    <w:rsid w:val="00810162"/>
    <w:rsid w:val="00811BCC"/>
    <w:rsid w:val="00814070"/>
    <w:rsid w:val="0081632F"/>
    <w:rsid w:val="00817290"/>
    <w:rsid w:val="00817687"/>
    <w:rsid w:val="00823734"/>
    <w:rsid w:val="008269A8"/>
    <w:rsid w:val="00826CA7"/>
    <w:rsid w:val="008301E9"/>
    <w:rsid w:val="0083572D"/>
    <w:rsid w:val="0083739E"/>
    <w:rsid w:val="00840042"/>
    <w:rsid w:val="00840660"/>
    <w:rsid w:val="0084149B"/>
    <w:rsid w:val="0084171E"/>
    <w:rsid w:val="00842B1E"/>
    <w:rsid w:val="00847614"/>
    <w:rsid w:val="00847B93"/>
    <w:rsid w:val="00847C47"/>
    <w:rsid w:val="00850305"/>
    <w:rsid w:val="008505F1"/>
    <w:rsid w:val="00851AA2"/>
    <w:rsid w:val="00852042"/>
    <w:rsid w:val="00853ABD"/>
    <w:rsid w:val="008576A1"/>
    <w:rsid w:val="00860746"/>
    <w:rsid w:val="00861C2C"/>
    <w:rsid w:val="00861D55"/>
    <w:rsid w:val="00862E2A"/>
    <w:rsid w:val="00864B2E"/>
    <w:rsid w:val="00867AB7"/>
    <w:rsid w:val="0087212C"/>
    <w:rsid w:val="008751A1"/>
    <w:rsid w:val="008764B4"/>
    <w:rsid w:val="008813CE"/>
    <w:rsid w:val="008815D6"/>
    <w:rsid w:val="008832DD"/>
    <w:rsid w:val="00883890"/>
    <w:rsid w:val="00884247"/>
    <w:rsid w:val="008842E8"/>
    <w:rsid w:val="00886A95"/>
    <w:rsid w:val="00886C2A"/>
    <w:rsid w:val="00891573"/>
    <w:rsid w:val="00891961"/>
    <w:rsid w:val="00891A20"/>
    <w:rsid w:val="008930E4"/>
    <w:rsid w:val="00893110"/>
    <w:rsid w:val="008934FB"/>
    <w:rsid w:val="00894B0D"/>
    <w:rsid w:val="00894CB3"/>
    <w:rsid w:val="0089561C"/>
    <w:rsid w:val="00895625"/>
    <w:rsid w:val="00895661"/>
    <w:rsid w:val="008A0897"/>
    <w:rsid w:val="008A3C77"/>
    <w:rsid w:val="008A7E7D"/>
    <w:rsid w:val="008B0EBE"/>
    <w:rsid w:val="008B1471"/>
    <w:rsid w:val="008B1C9C"/>
    <w:rsid w:val="008B3CB6"/>
    <w:rsid w:val="008B3E00"/>
    <w:rsid w:val="008B3F4A"/>
    <w:rsid w:val="008B50A4"/>
    <w:rsid w:val="008C0C55"/>
    <w:rsid w:val="008C10A7"/>
    <w:rsid w:val="008C234A"/>
    <w:rsid w:val="008C6A64"/>
    <w:rsid w:val="008D3870"/>
    <w:rsid w:val="008D54AE"/>
    <w:rsid w:val="008E00B1"/>
    <w:rsid w:val="008E0729"/>
    <w:rsid w:val="008E1640"/>
    <w:rsid w:val="008E1D75"/>
    <w:rsid w:val="008E1F0E"/>
    <w:rsid w:val="008E377F"/>
    <w:rsid w:val="008E3F5E"/>
    <w:rsid w:val="008E5ECC"/>
    <w:rsid w:val="008F4840"/>
    <w:rsid w:val="008F5107"/>
    <w:rsid w:val="008F6405"/>
    <w:rsid w:val="008F6994"/>
    <w:rsid w:val="00900880"/>
    <w:rsid w:val="009023F7"/>
    <w:rsid w:val="009026B7"/>
    <w:rsid w:val="00902B85"/>
    <w:rsid w:val="00902C58"/>
    <w:rsid w:val="00902D9D"/>
    <w:rsid w:val="00903A2C"/>
    <w:rsid w:val="00903C00"/>
    <w:rsid w:val="00904546"/>
    <w:rsid w:val="0090628C"/>
    <w:rsid w:val="0090633D"/>
    <w:rsid w:val="0090664D"/>
    <w:rsid w:val="0090668F"/>
    <w:rsid w:val="009112F9"/>
    <w:rsid w:val="009118C7"/>
    <w:rsid w:val="00912B3B"/>
    <w:rsid w:val="009137FD"/>
    <w:rsid w:val="00914BE0"/>
    <w:rsid w:val="009208BE"/>
    <w:rsid w:val="00920E9C"/>
    <w:rsid w:val="00923E86"/>
    <w:rsid w:val="009241BD"/>
    <w:rsid w:val="00924A95"/>
    <w:rsid w:val="0092527A"/>
    <w:rsid w:val="009270BF"/>
    <w:rsid w:val="00927C48"/>
    <w:rsid w:val="00930680"/>
    <w:rsid w:val="0093256C"/>
    <w:rsid w:val="00933B47"/>
    <w:rsid w:val="009347EA"/>
    <w:rsid w:val="009363B6"/>
    <w:rsid w:val="00936ADF"/>
    <w:rsid w:val="00940597"/>
    <w:rsid w:val="00942CCA"/>
    <w:rsid w:val="009463BE"/>
    <w:rsid w:val="009477D3"/>
    <w:rsid w:val="009501D2"/>
    <w:rsid w:val="0095036D"/>
    <w:rsid w:val="00951410"/>
    <w:rsid w:val="00953A70"/>
    <w:rsid w:val="00954E90"/>
    <w:rsid w:val="00955F45"/>
    <w:rsid w:val="009560C5"/>
    <w:rsid w:val="009561E2"/>
    <w:rsid w:val="00956454"/>
    <w:rsid w:val="00963A19"/>
    <w:rsid w:val="00964E2C"/>
    <w:rsid w:val="00965492"/>
    <w:rsid w:val="00965EF8"/>
    <w:rsid w:val="0096608C"/>
    <w:rsid w:val="0097059D"/>
    <w:rsid w:val="00973C55"/>
    <w:rsid w:val="009748EB"/>
    <w:rsid w:val="0097565D"/>
    <w:rsid w:val="00975C88"/>
    <w:rsid w:val="00982BEF"/>
    <w:rsid w:val="00983A5A"/>
    <w:rsid w:val="00984C8B"/>
    <w:rsid w:val="009862B0"/>
    <w:rsid w:val="00992BA9"/>
    <w:rsid w:val="0099724A"/>
    <w:rsid w:val="009A00D3"/>
    <w:rsid w:val="009A0631"/>
    <w:rsid w:val="009A44B2"/>
    <w:rsid w:val="009A51CA"/>
    <w:rsid w:val="009A5B02"/>
    <w:rsid w:val="009A5B7F"/>
    <w:rsid w:val="009A6628"/>
    <w:rsid w:val="009B061D"/>
    <w:rsid w:val="009B296C"/>
    <w:rsid w:val="009B4907"/>
    <w:rsid w:val="009B5C2A"/>
    <w:rsid w:val="009B6524"/>
    <w:rsid w:val="009C12DE"/>
    <w:rsid w:val="009C42C0"/>
    <w:rsid w:val="009C4B48"/>
    <w:rsid w:val="009C5962"/>
    <w:rsid w:val="009C5A09"/>
    <w:rsid w:val="009C5D34"/>
    <w:rsid w:val="009C60A5"/>
    <w:rsid w:val="009C62BF"/>
    <w:rsid w:val="009C647D"/>
    <w:rsid w:val="009C6CFB"/>
    <w:rsid w:val="009C70C5"/>
    <w:rsid w:val="009C72F0"/>
    <w:rsid w:val="009C789F"/>
    <w:rsid w:val="009C7E1F"/>
    <w:rsid w:val="009D0344"/>
    <w:rsid w:val="009D0C86"/>
    <w:rsid w:val="009D1B1E"/>
    <w:rsid w:val="009D4ED2"/>
    <w:rsid w:val="009D654F"/>
    <w:rsid w:val="009D67ED"/>
    <w:rsid w:val="009D73C7"/>
    <w:rsid w:val="009D75CE"/>
    <w:rsid w:val="009E0CEC"/>
    <w:rsid w:val="009E2523"/>
    <w:rsid w:val="009E37C2"/>
    <w:rsid w:val="009E4D09"/>
    <w:rsid w:val="009E5424"/>
    <w:rsid w:val="009E5584"/>
    <w:rsid w:val="009E58FE"/>
    <w:rsid w:val="009E5B25"/>
    <w:rsid w:val="009E5D61"/>
    <w:rsid w:val="009F1EF7"/>
    <w:rsid w:val="009F33C6"/>
    <w:rsid w:val="009F39A6"/>
    <w:rsid w:val="009F3C9D"/>
    <w:rsid w:val="009F3F5A"/>
    <w:rsid w:val="009F4E57"/>
    <w:rsid w:val="009F668F"/>
    <w:rsid w:val="009F6D01"/>
    <w:rsid w:val="00A01342"/>
    <w:rsid w:val="00A021EF"/>
    <w:rsid w:val="00A05292"/>
    <w:rsid w:val="00A0534B"/>
    <w:rsid w:val="00A06963"/>
    <w:rsid w:val="00A06C37"/>
    <w:rsid w:val="00A074B5"/>
    <w:rsid w:val="00A10CBE"/>
    <w:rsid w:val="00A13139"/>
    <w:rsid w:val="00A14686"/>
    <w:rsid w:val="00A15B49"/>
    <w:rsid w:val="00A16226"/>
    <w:rsid w:val="00A1737A"/>
    <w:rsid w:val="00A173A0"/>
    <w:rsid w:val="00A205C3"/>
    <w:rsid w:val="00A2150D"/>
    <w:rsid w:val="00A234B2"/>
    <w:rsid w:val="00A234B5"/>
    <w:rsid w:val="00A245EE"/>
    <w:rsid w:val="00A246F5"/>
    <w:rsid w:val="00A26A33"/>
    <w:rsid w:val="00A26D60"/>
    <w:rsid w:val="00A30F32"/>
    <w:rsid w:val="00A31B6C"/>
    <w:rsid w:val="00A32F7C"/>
    <w:rsid w:val="00A34E70"/>
    <w:rsid w:val="00A40B6C"/>
    <w:rsid w:val="00A417E5"/>
    <w:rsid w:val="00A41937"/>
    <w:rsid w:val="00A41F58"/>
    <w:rsid w:val="00A42140"/>
    <w:rsid w:val="00A42695"/>
    <w:rsid w:val="00A44787"/>
    <w:rsid w:val="00A447C7"/>
    <w:rsid w:val="00A4561C"/>
    <w:rsid w:val="00A51364"/>
    <w:rsid w:val="00A524AB"/>
    <w:rsid w:val="00A52854"/>
    <w:rsid w:val="00A613B1"/>
    <w:rsid w:val="00A63C8E"/>
    <w:rsid w:val="00A640EA"/>
    <w:rsid w:val="00A65975"/>
    <w:rsid w:val="00A66534"/>
    <w:rsid w:val="00A6729E"/>
    <w:rsid w:val="00A7027F"/>
    <w:rsid w:val="00A702B2"/>
    <w:rsid w:val="00A721FB"/>
    <w:rsid w:val="00A7229A"/>
    <w:rsid w:val="00A747F6"/>
    <w:rsid w:val="00A75D9A"/>
    <w:rsid w:val="00A76546"/>
    <w:rsid w:val="00A77EE7"/>
    <w:rsid w:val="00A80053"/>
    <w:rsid w:val="00A80546"/>
    <w:rsid w:val="00A80B16"/>
    <w:rsid w:val="00A825E4"/>
    <w:rsid w:val="00A835F7"/>
    <w:rsid w:val="00A8555E"/>
    <w:rsid w:val="00A85AD9"/>
    <w:rsid w:val="00A86BC2"/>
    <w:rsid w:val="00A90567"/>
    <w:rsid w:val="00A90B92"/>
    <w:rsid w:val="00A914F0"/>
    <w:rsid w:val="00A91B84"/>
    <w:rsid w:val="00A91F0B"/>
    <w:rsid w:val="00A92AE6"/>
    <w:rsid w:val="00A96110"/>
    <w:rsid w:val="00AA163B"/>
    <w:rsid w:val="00AA3889"/>
    <w:rsid w:val="00AA4EA8"/>
    <w:rsid w:val="00AA68AD"/>
    <w:rsid w:val="00AA7B6D"/>
    <w:rsid w:val="00AB0985"/>
    <w:rsid w:val="00AB0E96"/>
    <w:rsid w:val="00AB21A1"/>
    <w:rsid w:val="00AB3BD9"/>
    <w:rsid w:val="00AB3D53"/>
    <w:rsid w:val="00AB4DB0"/>
    <w:rsid w:val="00AB4E60"/>
    <w:rsid w:val="00AB6D0B"/>
    <w:rsid w:val="00AC089E"/>
    <w:rsid w:val="00AC1E2B"/>
    <w:rsid w:val="00AC416A"/>
    <w:rsid w:val="00AC4CED"/>
    <w:rsid w:val="00AC6605"/>
    <w:rsid w:val="00AD34FC"/>
    <w:rsid w:val="00AD3DCC"/>
    <w:rsid w:val="00AD4A5F"/>
    <w:rsid w:val="00AD6856"/>
    <w:rsid w:val="00AD6FB4"/>
    <w:rsid w:val="00AD6FE9"/>
    <w:rsid w:val="00AE12A0"/>
    <w:rsid w:val="00AE418B"/>
    <w:rsid w:val="00AE53F8"/>
    <w:rsid w:val="00AE5457"/>
    <w:rsid w:val="00AE6B4F"/>
    <w:rsid w:val="00AE701B"/>
    <w:rsid w:val="00AE7FD7"/>
    <w:rsid w:val="00AF3DDB"/>
    <w:rsid w:val="00AF45C5"/>
    <w:rsid w:val="00AF5D5B"/>
    <w:rsid w:val="00AF708D"/>
    <w:rsid w:val="00B02682"/>
    <w:rsid w:val="00B03FDA"/>
    <w:rsid w:val="00B07535"/>
    <w:rsid w:val="00B10DBE"/>
    <w:rsid w:val="00B12E58"/>
    <w:rsid w:val="00B15D13"/>
    <w:rsid w:val="00B1608B"/>
    <w:rsid w:val="00B16FE6"/>
    <w:rsid w:val="00B174BF"/>
    <w:rsid w:val="00B2070A"/>
    <w:rsid w:val="00B22691"/>
    <w:rsid w:val="00B23986"/>
    <w:rsid w:val="00B24940"/>
    <w:rsid w:val="00B27D26"/>
    <w:rsid w:val="00B3101C"/>
    <w:rsid w:val="00B3118B"/>
    <w:rsid w:val="00B318B0"/>
    <w:rsid w:val="00B31D16"/>
    <w:rsid w:val="00B32BA3"/>
    <w:rsid w:val="00B33D2A"/>
    <w:rsid w:val="00B350A3"/>
    <w:rsid w:val="00B364B5"/>
    <w:rsid w:val="00B400A9"/>
    <w:rsid w:val="00B40D95"/>
    <w:rsid w:val="00B41FB0"/>
    <w:rsid w:val="00B45A2E"/>
    <w:rsid w:val="00B506DF"/>
    <w:rsid w:val="00B51FED"/>
    <w:rsid w:val="00B543EC"/>
    <w:rsid w:val="00B54423"/>
    <w:rsid w:val="00B54D36"/>
    <w:rsid w:val="00B61368"/>
    <w:rsid w:val="00B63014"/>
    <w:rsid w:val="00B6659C"/>
    <w:rsid w:val="00B72521"/>
    <w:rsid w:val="00B72699"/>
    <w:rsid w:val="00B72B75"/>
    <w:rsid w:val="00B73C20"/>
    <w:rsid w:val="00B75D64"/>
    <w:rsid w:val="00B80FC0"/>
    <w:rsid w:val="00B81463"/>
    <w:rsid w:val="00B82281"/>
    <w:rsid w:val="00B8290C"/>
    <w:rsid w:val="00B8614C"/>
    <w:rsid w:val="00B8616E"/>
    <w:rsid w:val="00B863E0"/>
    <w:rsid w:val="00B9284C"/>
    <w:rsid w:val="00B9523A"/>
    <w:rsid w:val="00B97425"/>
    <w:rsid w:val="00B97535"/>
    <w:rsid w:val="00B97687"/>
    <w:rsid w:val="00BA0120"/>
    <w:rsid w:val="00BA402B"/>
    <w:rsid w:val="00BA417D"/>
    <w:rsid w:val="00BA428C"/>
    <w:rsid w:val="00BA609D"/>
    <w:rsid w:val="00BA7779"/>
    <w:rsid w:val="00BB4504"/>
    <w:rsid w:val="00BB532A"/>
    <w:rsid w:val="00BB67F7"/>
    <w:rsid w:val="00BB6EA3"/>
    <w:rsid w:val="00BB7677"/>
    <w:rsid w:val="00BC5772"/>
    <w:rsid w:val="00BC589B"/>
    <w:rsid w:val="00BC58F3"/>
    <w:rsid w:val="00BC5CE5"/>
    <w:rsid w:val="00BC76FF"/>
    <w:rsid w:val="00BD304A"/>
    <w:rsid w:val="00BD3B51"/>
    <w:rsid w:val="00BD4DC2"/>
    <w:rsid w:val="00BD52C9"/>
    <w:rsid w:val="00BD5BC5"/>
    <w:rsid w:val="00BD70CB"/>
    <w:rsid w:val="00BE2DC4"/>
    <w:rsid w:val="00BE65B4"/>
    <w:rsid w:val="00BE7607"/>
    <w:rsid w:val="00BE7848"/>
    <w:rsid w:val="00BF4283"/>
    <w:rsid w:val="00BF4D0C"/>
    <w:rsid w:val="00BF601F"/>
    <w:rsid w:val="00BF7956"/>
    <w:rsid w:val="00BF7EEB"/>
    <w:rsid w:val="00C02752"/>
    <w:rsid w:val="00C03B6F"/>
    <w:rsid w:val="00C04B86"/>
    <w:rsid w:val="00C0652E"/>
    <w:rsid w:val="00C06991"/>
    <w:rsid w:val="00C06A9A"/>
    <w:rsid w:val="00C06BF2"/>
    <w:rsid w:val="00C07E94"/>
    <w:rsid w:val="00C12E4C"/>
    <w:rsid w:val="00C1343D"/>
    <w:rsid w:val="00C1385B"/>
    <w:rsid w:val="00C17023"/>
    <w:rsid w:val="00C176C9"/>
    <w:rsid w:val="00C20446"/>
    <w:rsid w:val="00C20526"/>
    <w:rsid w:val="00C20760"/>
    <w:rsid w:val="00C233A1"/>
    <w:rsid w:val="00C23C9A"/>
    <w:rsid w:val="00C24DDF"/>
    <w:rsid w:val="00C25115"/>
    <w:rsid w:val="00C26E96"/>
    <w:rsid w:val="00C27182"/>
    <w:rsid w:val="00C30637"/>
    <w:rsid w:val="00C30749"/>
    <w:rsid w:val="00C30F8C"/>
    <w:rsid w:val="00C32277"/>
    <w:rsid w:val="00C33075"/>
    <w:rsid w:val="00C33E03"/>
    <w:rsid w:val="00C3461F"/>
    <w:rsid w:val="00C3660A"/>
    <w:rsid w:val="00C3762D"/>
    <w:rsid w:val="00C37C1F"/>
    <w:rsid w:val="00C40218"/>
    <w:rsid w:val="00C42332"/>
    <w:rsid w:val="00C50C88"/>
    <w:rsid w:val="00C518BC"/>
    <w:rsid w:val="00C55302"/>
    <w:rsid w:val="00C60063"/>
    <w:rsid w:val="00C6303B"/>
    <w:rsid w:val="00C63CA4"/>
    <w:rsid w:val="00C66ECD"/>
    <w:rsid w:val="00C716D0"/>
    <w:rsid w:val="00C74A11"/>
    <w:rsid w:val="00C7758C"/>
    <w:rsid w:val="00C82A80"/>
    <w:rsid w:val="00C83BA5"/>
    <w:rsid w:val="00C83E6D"/>
    <w:rsid w:val="00C84279"/>
    <w:rsid w:val="00C84860"/>
    <w:rsid w:val="00C85629"/>
    <w:rsid w:val="00C86F6C"/>
    <w:rsid w:val="00C91009"/>
    <w:rsid w:val="00C910BA"/>
    <w:rsid w:val="00C91231"/>
    <w:rsid w:val="00C93A31"/>
    <w:rsid w:val="00C940CD"/>
    <w:rsid w:val="00C941D1"/>
    <w:rsid w:val="00C94436"/>
    <w:rsid w:val="00C949E2"/>
    <w:rsid w:val="00C94CE6"/>
    <w:rsid w:val="00C96490"/>
    <w:rsid w:val="00CA13B7"/>
    <w:rsid w:val="00CA293A"/>
    <w:rsid w:val="00CA5391"/>
    <w:rsid w:val="00CA54BE"/>
    <w:rsid w:val="00CA63C5"/>
    <w:rsid w:val="00CA766F"/>
    <w:rsid w:val="00CB005B"/>
    <w:rsid w:val="00CB0093"/>
    <w:rsid w:val="00CB18FE"/>
    <w:rsid w:val="00CB1AF2"/>
    <w:rsid w:val="00CB1F12"/>
    <w:rsid w:val="00CB3151"/>
    <w:rsid w:val="00CB379C"/>
    <w:rsid w:val="00CB4A51"/>
    <w:rsid w:val="00CB51DF"/>
    <w:rsid w:val="00CB6817"/>
    <w:rsid w:val="00CB7873"/>
    <w:rsid w:val="00CC0ED8"/>
    <w:rsid w:val="00CC1736"/>
    <w:rsid w:val="00CC42A6"/>
    <w:rsid w:val="00CC6078"/>
    <w:rsid w:val="00CD0E62"/>
    <w:rsid w:val="00CD2090"/>
    <w:rsid w:val="00CD5B1A"/>
    <w:rsid w:val="00CD5DC0"/>
    <w:rsid w:val="00CD5F67"/>
    <w:rsid w:val="00CD64AB"/>
    <w:rsid w:val="00CD753E"/>
    <w:rsid w:val="00CE1D5F"/>
    <w:rsid w:val="00CE228E"/>
    <w:rsid w:val="00CE4C48"/>
    <w:rsid w:val="00CE5DA8"/>
    <w:rsid w:val="00CE79A5"/>
    <w:rsid w:val="00CE7E84"/>
    <w:rsid w:val="00CF0898"/>
    <w:rsid w:val="00CF0C6B"/>
    <w:rsid w:val="00CF1EC1"/>
    <w:rsid w:val="00CF2CDB"/>
    <w:rsid w:val="00CF33D6"/>
    <w:rsid w:val="00CF53B8"/>
    <w:rsid w:val="00CF7623"/>
    <w:rsid w:val="00D01425"/>
    <w:rsid w:val="00D02854"/>
    <w:rsid w:val="00D02AFE"/>
    <w:rsid w:val="00D0303D"/>
    <w:rsid w:val="00D0545D"/>
    <w:rsid w:val="00D05D3D"/>
    <w:rsid w:val="00D06783"/>
    <w:rsid w:val="00D06CFD"/>
    <w:rsid w:val="00D06D8F"/>
    <w:rsid w:val="00D10143"/>
    <w:rsid w:val="00D15D77"/>
    <w:rsid w:val="00D17CB6"/>
    <w:rsid w:val="00D17E3E"/>
    <w:rsid w:val="00D20287"/>
    <w:rsid w:val="00D207B0"/>
    <w:rsid w:val="00D21142"/>
    <w:rsid w:val="00D216D4"/>
    <w:rsid w:val="00D22F9B"/>
    <w:rsid w:val="00D27494"/>
    <w:rsid w:val="00D31C08"/>
    <w:rsid w:val="00D3239F"/>
    <w:rsid w:val="00D3242C"/>
    <w:rsid w:val="00D32896"/>
    <w:rsid w:val="00D32DFB"/>
    <w:rsid w:val="00D35D68"/>
    <w:rsid w:val="00D35EB0"/>
    <w:rsid w:val="00D374AD"/>
    <w:rsid w:val="00D37BC3"/>
    <w:rsid w:val="00D40C10"/>
    <w:rsid w:val="00D40D45"/>
    <w:rsid w:val="00D412FB"/>
    <w:rsid w:val="00D44293"/>
    <w:rsid w:val="00D44872"/>
    <w:rsid w:val="00D45266"/>
    <w:rsid w:val="00D4671E"/>
    <w:rsid w:val="00D47495"/>
    <w:rsid w:val="00D50575"/>
    <w:rsid w:val="00D50D21"/>
    <w:rsid w:val="00D50DD4"/>
    <w:rsid w:val="00D53401"/>
    <w:rsid w:val="00D539EB"/>
    <w:rsid w:val="00D54CD7"/>
    <w:rsid w:val="00D55E57"/>
    <w:rsid w:val="00D624E2"/>
    <w:rsid w:val="00D6278B"/>
    <w:rsid w:val="00D630F3"/>
    <w:rsid w:val="00D63159"/>
    <w:rsid w:val="00D6373F"/>
    <w:rsid w:val="00D6395D"/>
    <w:rsid w:val="00D65725"/>
    <w:rsid w:val="00D67617"/>
    <w:rsid w:val="00D709AE"/>
    <w:rsid w:val="00D7349F"/>
    <w:rsid w:val="00D745EF"/>
    <w:rsid w:val="00D773B3"/>
    <w:rsid w:val="00D774F3"/>
    <w:rsid w:val="00D82F19"/>
    <w:rsid w:val="00D831E0"/>
    <w:rsid w:val="00D83348"/>
    <w:rsid w:val="00D860A1"/>
    <w:rsid w:val="00D86DF9"/>
    <w:rsid w:val="00D870DB"/>
    <w:rsid w:val="00D901E1"/>
    <w:rsid w:val="00D91B53"/>
    <w:rsid w:val="00D91F54"/>
    <w:rsid w:val="00D92789"/>
    <w:rsid w:val="00D95F35"/>
    <w:rsid w:val="00D96BF6"/>
    <w:rsid w:val="00D97E36"/>
    <w:rsid w:val="00DA300B"/>
    <w:rsid w:val="00DA487C"/>
    <w:rsid w:val="00DA55A5"/>
    <w:rsid w:val="00DB1E90"/>
    <w:rsid w:val="00DB2379"/>
    <w:rsid w:val="00DB5BC9"/>
    <w:rsid w:val="00DB742A"/>
    <w:rsid w:val="00DC014E"/>
    <w:rsid w:val="00DC12F2"/>
    <w:rsid w:val="00DC4294"/>
    <w:rsid w:val="00DC6A7B"/>
    <w:rsid w:val="00DC7BEF"/>
    <w:rsid w:val="00DD0BCA"/>
    <w:rsid w:val="00DD1AB8"/>
    <w:rsid w:val="00DD226F"/>
    <w:rsid w:val="00DD3309"/>
    <w:rsid w:val="00DD623A"/>
    <w:rsid w:val="00DD6603"/>
    <w:rsid w:val="00DD6FF4"/>
    <w:rsid w:val="00DE1825"/>
    <w:rsid w:val="00DE3C5D"/>
    <w:rsid w:val="00DE6143"/>
    <w:rsid w:val="00DE7861"/>
    <w:rsid w:val="00DE7F29"/>
    <w:rsid w:val="00DF008A"/>
    <w:rsid w:val="00DF0D1E"/>
    <w:rsid w:val="00DF152F"/>
    <w:rsid w:val="00DF4854"/>
    <w:rsid w:val="00DF4EF7"/>
    <w:rsid w:val="00DF5209"/>
    <w:rsid w:val="00DF58AF"/>
    <w:rsid w:val="00DF5B73"/>
    <w:rsid w:val="00DF612C"/>
    <w:rsid w:val="00DF6F53"/>
    <w:rsid w:val="00DF745E"/>
    <w:rsid w:val="00E004A1"/>
    <w:rsid w:val="00E01E17"/>
    <w:rsid w:val="00E03F39"/>
    <w:rsid w:val="00E042AE"/>
    <w:rsid w:val="00E05360"/>
    <w:rsid w:val="00E06C29"/>
    <w:rsid w:val="00E10A8F"/>
    <w:rsid w:val="00E11DAF"/>
    <w:rsid w:val="00E1407A"/>
    <w:rsid w:val="00E15F65"/>
    <w:rsid w:val="00E16B66"/>
    <w:rsid w:val="00E177F0"/>
    <w:rsid w:val="00E20A71"/>
    <w:rsid w:val="00E21775"/>
    <w:rsid w:val="00E21E42"/>
    <w:rsid w:val="00E226B2"/>
    <w:rsid w:val="00E25D96"/>
    <w:rsid w:val="00E26443"/>
    <w:rsid w:val="00E26680"/>
    <w:rsid w:val="00E27314"/>
    <w:rsid w:val="00E33B41"/>
    <w:rsid w:val="00E33D41"/>
    <w:rsid w:val="00E33E63"/>
    <w:rsid w:val="00E33E75"/>
    <w:rsid w:val="00E37265"/>
    <w:rsid w:val="00E405A1"/>
    <w:rsid w:val="00E432CC"/>
    <w:rsid w:val="00E4406D"/>
    <w:rsid w:val="00E44DB0"/>
    <w:rsid w:val="00E4517C"/>
    <w:rsid w:val="00E4599D"/>
    <w:rsid w:val="00E45C2B"/>
    <w:rsid w:val="00E45ECA"/>
    <w:rsid w:val="00E464BB"/>
    <w:rsid w:val="00E466B7"/>
    <w:rsid w:val="00E503E5"/>
    <w:rsid w:val="00E51574"/>
    <w:rsid w:val="00E51B8E"/>
    <w:rsid w:val="00E5483B"/>
    <w:rsid w:val="00E55F69"/>
    <w:rsid w:val="00E567CF"/>
    <w:rsid w:val="00E57BC6"/>
    <w:rsid w:val="00E60004"/>
    <w:rsid w:val="00E610B4"/>
    <w:rsid w:val="00E618C5"/>
    <w:rsid w:val="00E620B6"/>
    <w:rsid w:val="00E621BE"/>
    <w:rsid w:val="00E64680"/>
    <w:rsid w:val="00E72776"/>
    <w:rsid w:val="00E824FA"/>
    <w:rsid w:val="00E82E23"/>
    <w:rsid w:val="00E82FF6"/>
    <w:rsid w:val="00E8321B"/>
    <w:rsid w:val="00E85547"/>
    <w:rsid w:val="00E85BFC"/>
    <w:rsid w:val="00E8649B"/>
    <w:rsid w:val="00E86770"/>
    <w:rsid w:val="00E876CC"/>
    <w:rsid w:val="00E903EA"/>
    <w:rsid w:val="00E93C96"/>
    <w:rsid w:val="00E96535"/>
    <w:rsid w:val="00E96ABB"/>
    <w:rsid w:val="00EA1E95"/>
    <w:rsid w:val="00EA30C8"/>
    <w:rsid w:val="00EA64C9"/>
    <w:rsid w:val="00EA7438"/>
    <w:rsid w:val="00EA7AEE"/>
    <w:rsid w:val="00EB0BBF"/>
    <w:rsid w:val="00EB1883"/>
    <w:rsid w:val="00EB1BF4"/>
    <w:rsid w:val="00EB2346"/>
    <w:rsid w:val="00EB29A7"/>
    <w:rsid w:val="00EB49C8"/>
    <w:rsid w:val="00EB7ED6"/>
    <w:rsid w:val="00EC201D"/>
    <w:rsid w:val="00EC248B"/>
    <w:rsid w:val="00EC24E8"/>
    <w:rsid w:val="00EC32BA"/>
    <w:rsid w:val="00EC5BFA"/>
    <w:rsid w:val="00EC701E"/>
    <w:rsid w:val="00EC7908"/>
    <w:rsid w:val="00ED0839"/>
    <w:rsid w:val="00ED11CE"/>
    <w:rsid w:val="00ED2CBF"/>
    <w:rsid w:val="00ED4AE8"/>
    <w:rsid w:val="00ED4D41"/>
    <w:rsid w:val="00ED4F09"/>
    <w:rsid w:val="00EE09E6"/>
    <w:rsid w:val="00EE20CC"/>
    <w:rsid w:val="00EE44FE"/>
    <w:rsid w:val="00EE557E"/>
    <w:rsid w:val="00EE5B49"/>
    <w:rsid w:val="00EE6339"/>
    <w:rsid w:val="00EF0B1B"/>
    <w:rsid w:val="00EF303F"/>
    <w:rsid w:val="00EF3375"/>
    <w:rsid w:val="00EF44B4"/>
    <w:rsid w:val="00F02B6D"/>
    <w:rsid w:val="00F02C6D"/>
    <w:rsid w:val="00F02CC9"/>
    <w:rsid w:val="00F05898"/>
    <w:rsid w:val="00F05C00"/>
    <w:rsid w:val="00F07B69"/>
    <w:rsid w:val="00F10444"/>
    <w:rsid w:val="00F11C2D"/>
    <w:rsid w:val="00F12B4C"/>
    <w:rsid w:val="00F1400E"/>
    <w:rsid w:val="00F14F54"/>
    <w:rsid w:val="00F15E9A"/>
    <w:rsid w:val="00F235A3"/>
    <w:rsid w:val="00F243CA"/>
    <w:rsid w:val="00F24DB0"/>
    <w:rsid w:val="00F31115"/>
    <w:rsid w:val="00F32D4D"/>
    <w:rsid w:val="00F3403F"/>
    <w:rsid w:val="00F343E6"/>
    <w:rsid w:val="00F34926"/>
    <w:rsid w:val="00F350E2"/>
    <w:rsid w:val="00F35CA3"/>
    <w:rsid w:val="00F35F23"/>
    <w:rsid w:val="00F37128"/>
    <w:rsid w:val="00F37D67"/>
    <w:rsid w:val="00F415FE"/>
    <w:rsid w:val="00F41680"/>
    <w:rsid w:val="00F42548"/>
    <w:rsid w:val="00F437BA"/>
    <w:rsid w:val="00F4494A"/>
    <w:rsid w:val="00F44EB5"/>
    <w:rsid w:val="00F454BD"/>
    <w:rsid w:val="00F45962"/>
    <w:rsid w:val="00F46E02"/>
    <w:rsid w:val="00F46E1F"/>
    <w:rsid w:val="00F51B08"/>
    <w:rsid w:val="00F51C13"/>
    <w:rsid w:val="00F51E0A"/>
    <w:rsid w:val="00F52759"/>
    <w:rsid w:val="00F52EC6"/>
    <w:rsid w:val="00F56EEF"/>
    <w:rsid w:val="00F61274"/>
    <w:rsid w:val="00F61692"/>
    <w:rsid w:val="00F62076"/>
    <w:rsid w:val="00F624CB"/>
    <w:rsid w:val="00F62A89"/>
    <w:rsid w:val="00F62DDD"/>
    <w:rsid w:val="00F63652"/>
    <w:rsid w:val="00F646D9"/>
    <w:rsid w:val="00F66009"/>
    <w:rsid w:val="00F6653F"/>
    <w:rsid w:val="00F67493"/>
    <w:rsid w:val="00F715DB"/>
    <w:rsid w:val="00F71AFF"/>
    <w:rsid w:val="00F71CE3"/>
    <w:rsid w:val="00F721C5"/>
    <w:rsid w:val="00F777FF"/>
    <w:rsid w:val="00F77F6B"/>
    <w:rsid w:val="00F80AB7"/>
    <w:rsid w:val="00F80B2E"/>
    <w:rsid w:val="00F81721"/>
    <w:rsid w:val="00F827B1"/>
    <w:rsid w:val="00F83DFC"/>
    <w:rsid w:val="00F83F54"/>
    <w:rsid w:val="00F84D6E"/>
    <w:rsid w:val="00F86A8A"/>
    <w:rsid w:val="00F87629"/>
    <w:rsid w:val="00F876B5"/>
    <w:rsid w:val="00F93601"/>
    <w:rsid w:val="00F9374A"/>
    <w:rsid w:val="00F953D8"/>
    <w:rsid w:val="00F95CF7"/>
    <w:rsid w:val="00F96B50"/>
    <w:rsid w:val="00FA01A7"/>
    <w:rsid w:val="00FA01B7"/>
    <w:rsid w:val="00FA0442"/>
    <w:rsid w:val="00FA086C"/>
    <w:rsid w:val="00FA3341"/>
    <w:rsid w:val="00FA4517"/>
    <w:rsid w:val="00FA52ED"/>
    <w:rsid w:val="00FA7BD1"/>
    <w:rsid w:val="00FB151D"/>
    <w:rsid w:val="00FB2649"/>
    <w:rsid w:val="00FB470D"/>
    <w:rsid w:val="00FB57E5"/>
    <w:rsid w:val="00FB668D"/>
    <w:rsid w:val="00FC036F"/>
    <w:rsid w:val="00FC059F"/>
    <w:rsid w:val="00FC1310"/>
    <w:rsid w:val="00FC1355"/>
    <w:rsid w:val="00FC1422"/>
    <w:rsid w:val="00FC2FCB"/>
    <w:rsid w:val="00FC59FC"/>
    <w:rsid w:val="00FC6ABD"/>
    <w:rsid w:val="00FC6FC4"/>
    <w:rsid w:val="00FD3262"/>
    <w:rsid w:val="00FD63DD"/>
    <w:rsid w:val="00FD65B0"/>
    <w:rsid w:val="00FE01B1"/>
    <w:rsid w:val="00FE03D0"/>
    <w:rsid w:val="00FE2DA4"/>
    <w:rsid w:val="00FE3E0E"/>
    <w:rsid w:val="00FE4419"/>
    <w:rsid w:val="00FE5216"/>
    <w:rsid w:val="00FE6954"/>
    <w:rsid w:val="00FE728A"/>
    <w:rsid w:val="00FE75DA"/>
    <w:rsid w:val="00FF15F9"/>
    <w:rsid w:val="00FF3672"/>
    <w:rsid w:val="00FF5313"/>
    <w:rsid w:val="00FF6948"/>
    <w:rsid w:val="00FF6AC0"/>
    <w:rsid w:val="00FF6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FD616"/>
  <w15:chartTrackingRefBased/>
  <w15:docId w15:val="{E0F2FF07-01E5-4B97-BFAC-A2FAD493A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1C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1CE"/>
    <w:pPr>
      <w:ind w:left="720"/>
    </w:pPr>
  </w:style>
  <w:style w:type="paragraph" w:styleId="BalloonText">
    <w:name w:val="Balloon Text"/>
    <w:basedOn w:val="Normal"/>
    <w:link w:val="BalloonTextChar"/>
    <w:uiPriority w:val="99"/>
    <w:semiHidden/>
    <w:unhideWhenUsed/>
    <w:rsid w:val="00ED11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1CE"/>
    <w:rPr>
      <w:rFonts w:ascii="Segoe UI" w:hAnsi="Segoe UI" w:cs="Segoe UI"/>
      <w:sz w:val="18"/>
      <w:szCs w:val="18"/>
    </w:rPr>
  </w:style>
  <w:style w:type="character" w:styleId="Hyperlink">
    <w:name w:val="Hyperlink"/>
    <w:basedOn w:val="DefaultParagraphFont"/>
    <w:uiPriority w:val="99"/>
    <w:unhideWhenUsed/>
    <w:rsid w:val="00113338"/>
    <w:rPr>
      <w:color w:val="0563C1" w:themeColor="hyperlink"/>
      <w:u w:val="single"/>
    </w:rPr>
  </w:style>
  <w:style w:type="character" w:styleId="UnresolvedMention">
    <w:name w:val="Unresolved Mention"/>
    <w:basedOn w:val="DefaultParagraphFont"/>
    <w:uiPriority w:val="99"/>
    <w:semiHidden/>
    <w:unhideWhenUsed/>
    <w:rsid w:val="00113338"/>
    <w:rPr>
      <w:color w:val="605E5C"/>
      <w:shd w:val="clear" w:color="auto" w:fill="E1DFDD"/>
    </w:rPr>
  </w:style>
  <w:style w:type="paragraph" w:styleId="Header">
    <w:name w:val="header"/>
    <w:basedOn w:val="Normal"/>
    <w:link w:val="HeaderChar"/>
    <w:uiPriority w:val="99"/>
    <w:unhideWhenUsed/>
    <w:rsid w:val="007071C3"/>
    <w:pPr>
      <w:tabs>
        <w:tab w:val="center" w:pos="4513"/>
        <w:tab w:val="right" w:pos="9026"/>
      </w:tabs>
    </w:pPr>
  </w:style>
  <w:style w:type="character" w:customStyle="1" w:styleId="HeaderChar">
    <w:name w:val="Header Char"/>
    <w:basedOn w:val="DefaultParagraphFont"/>
    <w:link w:val="Header"/>
    <w:uiPriority w:val="99"/>
    <w:rsid w:val="007071C3"/>
    <w:rPr>
      <w:rFonts w:ascii="Calibri" w:hAnsi="Calibri" w:cs="Times New Roman"/>
    </w:rPr>
  </w:style>
  <w:style w:type="paragraph" w:styleId="Footer">
    <w:name w:val="footer"/>
    <w:basedOn w:val="Normal"/>
    <w:link w:val="FooterChar"/>
    <w:uiPriority w:val="99"/>
    <w:unhideWhenUsed/>
    <w:rsid w:val="007071C3"/>
    <w:pPr>
      <w:tabs>
        <w:tab w:val="center" w:pos="4513"/>
        <w:tab w:val="right" w:pos="9026"/>
      </w:tabs>
    </w:pPr>
  </w:style>
  <w:style w:type="character" w:customStyle="1" w:styleId="FooterChar">
    <w:name w:val="Footer Char"/>
    <w:basedOn w:val="DefaultParagraphFont"/>
    <w:link w:val="Footer"/>
    <w:uiPriority w:val="99"/>
    <w:rsid w:val="007071C3"/>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197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enbaksh@btopenworl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3714</TotalTime>
  <Pages>8</Pages>
  <Words>3369</Words>
  <Characters>19206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Baksh</dc:creator>
  <cp:keywords/>
  <dc:description/>
  <cp:lastModifiedBy>Kenneth Baksh</cp:lastModifiedBy>
  <cp:revision>48</cp:revision>
  <cp:lastPrinted>2020-11-22T15:45:00Z</cp:lastPrinted>
  <dcterms:created xsi:type="dcterms:W3CDTF">2020-11-22T15:46:00Z</dcterms:created>
  <dcterms:modified xsi:type="dcterms:W3CDTF">2020-12-01T09:54:00Z</dcterms:modified>
  <cp:contentStatus/>
</cp:coreProperties>
</file>